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976" w:rsidRDefault="00B749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74976" w:rsidRDefault="00B45C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G_4: Badanie zmian klimatu Ziemi z wykorzystaniem prostego modelu klimatycznego i modelu transferu promieniowania</w:t>
      </w:r>
    </w:p>
    <w:p w:rsidR="00B74976" w:rsidRDefault="00B749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b/>
        </w:rPr>
      </w:pPr>
    </w:p>
    <w:p w:rsidR="00B74976" w:rsidRDefault="00B45C8D">
      <w:pPr>
        <w:spacing w:line="360" w:lineRule="auto"/>
        <w:jc w:val="center"/>
      </w:pPr>
      <w:r>
        <w:t xml:space="preserve">Krzysztof Markowicz, </w:t>
      </w:r>
      <w:hyperlink r:id="rId7">
        <w:r>
          <w:rPr>
            <w:color w:val="1155CC"/>
            <w:u w:val="single"/>
          </w:rPr>
          <w:t>kmark@igf.fuw.edu.pl</w:t>
        </w:r>
      </w:hyperlink>
    </w:p>
    <w:p w:rsidR="00B74976" w:rsidRDefault="00B45C8D">
      <w:pPr>
        <w:jc w:val="center"/>
      </w:pPr>
      <w:r>
        <w:t>pok. B4.47</w:t>
      </w:r>
    </w:p>
    <w:p w:rsidR="00B74976" w:rsidRDefault="00B74976"/>
    <w:p w:rsidR="00B74976" w:rsidRDefault="00B45C8D">
      <w:pPr>
        <w:spacing w:line="276" w:lineRule="auto"/>
        <w:ind w:hanging="2"/>
        <w:jc w:val="both"/>
      </w:pPr>
      <w:r>
        <w:t>Celem ćwiczenia jest wyznaczenie wymuszeń radiacyjnych wynikających ze zmian zachodzących w systemie klimatycznym, obejmujących m.in. zmiany koncentracji gazów cieplarnianych, aerozoli (zarówno naturalnych, jak i antropogenicznych) oraz aktywności słoneczn</w:t>
      </w:r>
      <w:r>
        <w:t xml:space="preserve">ej. Na podstawie oszacowanych wymuszeń przeprowadzane </w:t>
      </w:r>
      <w:proofErr w:type="spellStart"/>
      <w:r>
        <w:t>sąsymulacje</w:t>
      </w:r>
      <w:proofErr w:type="spellEnd"/>
      <w:r>
        <w:t xml:space="preserve"> klimatyczne. W ramach ćwiczenia wykorzystywany jest internetowy (webowy) model transferu promieniowania oraz prosty model klimatu.</w:t>
      </w:r>
    </w:p>
    <w:p w:rsidR="00B74976" w:rsidRDefault="00B74976"/>
    <w:p w:rsidR="00B74976" w:rsidRDefault="00B74976"/>
    <w:p w:rsidR="00B74976" w:rsidRDefault="00B45C8D">
      <w:pPr>
        <w:pStyle w:val="Nagwek1"/>
        <w:numPr>
          <w:ilvl w:val="1"/>
          <w:numId w:val="3"/>
        </w:numPr>
        <w:spacing w:line="360" w:lineRule="auto"/>
      </w:pPr>
      <w:bookmarkStart w:id="0" w:name="_heading=h.zfsirrpnjv36" w:colFirst="0" w:colLast="0"/>
      <w:bookmarkEnd w:id="0"/>
      <w:r>
        <w:t>System klimatyczny</w:t>
      </w:r>
    </w:p>
    <w:p w:rsidR="00B74976" w:rsidRDefault="00B45C8D">
      <w:pPr>
        <w:spacing w:line="360" w:lineRule="auto"/>
        <w:ind w:firstLine="720"/>
        <w:jc w:val="both"/>
      </w:pPr>
      <w:r>
        <w:t>System klimatyczny to złożony układ fi</w:t>
      </w:r>
      <w:r>
        <w:t xml:space="preserve">zycznych, chemicznych i biologicznych procesów, który kształtuje klimat Ziemi. Obejmuje on pięć głównych komponentów: </w:t>
      </w:r>
      <w:r>
        <w:rPr>
          <w:b/>
        </w:rPr>
        <w:t>atmosferę</w:t>
      </w:r>
      <w:r>
        <w:t xml:space="preserve"> (warstwa gazów otaczająca Ziemię), </w:t>
      </w:r>
      <w:r>
        <w:rPr>
          <w:b/>
        </w:rPr>
        <w:t>hydrosferę</w:t>
      </w:r>
      <w:r>
        <w:t xml:space="preserve"> (oceany, morza, rzeki i jeziora wpływające na transport ciepła), </w:t>
      </w:r>
      <w:r>
        <w:rPr>
          <w:b/>
        </w:rPr>
        <w:t>kriosferę</w:t>
      </w:r>
      <w:r>
        <w:t xml:space="preserve"> (lód mo</w:t>
      </w:r>
      <w:r>
        <w:t xml:space="preserve">rski, lodowce, pokrywa śnieżna), </w:t>
      </w:r>
      <w:r>
        <w:rPr>
          <w:b/>
        </w:rPr>
        <w:t>litosferę</w:t>
      </w:r>
      <w:r>
        <w:t xml:space="preserve"> (powierzchnia lądów i procesy zachodzące w ziemskiej skorupie) oraz </w:t>
      </w:r>
      <w:r>
        <w:rPr>
          <w:b/>
        </w:rPr>
        <w:t>biosferę</w:t>
      </w:r>
      <w:r>
        <w:t xml:space="preserve"> (organizmy żywe oddziałujące na obieg energii i gazów cieplarnianych). Elementy te są ze sobą powiązane poprzez wymianę energii, masy i </w:t>
      </w:r>
      <w:r>
        <w:t xml:space="preserve">pędu, co sprawia, że zmiana jednego z nich prowadzi do reakcji w pozostałych. System klimatyczny jest napędzany głównie energią słoneczną, a jego działanie jest modyfikowane przez </w:t>
      </w:r>
      <w:r>
        <w:rPr>
          <w:b/>
        </w:rPr>
        <w:t>naturalne czynniki</w:t>
      </w:r>
      <w:r>
        <w:t xml:space="preserve"> (np. erupcje wulkaniczne, zmiany aktywności słonecznej) o</w:t>
      </w:r>
      <w:r>
        <w:t xml:space="preserve">raz </w:t>
      </w:r>
      <w:r>
        <w:rPr>
          <w:b/>
        </w:rPr>
        <w:t>wpływ człowieka</w:t>
      </w:r>
      <w:r>
        <w:t xml:space="preserve"> (emisje gazów cieplarnianych, aerozoli, zmiany użytkowania terenu). Badanie systemu klimatycznego pozwala zrozumieć mechanizmy odpowiedzialne za zmiany klimatu i przewidywać ich przyszłe skutki.</w:t>
      </w:r>
    </w:p>
    <w:p w:rsidR="00B74976" w:rsidRDefault="00B74976">
      <w:pPr>
        <w:spacing w:line="360" w:lineRule="auto"/>
        <w:ind w:firstLine="720"/>
        <w:jc w:val="both"/>
      </w:pPr>
    </w:p>
    <w:p w:rsidR="00B74976" w:rsidRDefault="00B45C8D">
      <w:pPr>
        <w:pStyle w:val="Nagwek1"/>
        <w:numPr>
          <w:ilvl w:val="1"/>
          <w:numId w:val="3"/>
        </w:numPr>
        <w:spacing w:line="360" w:lineRule="auto"/>
      </w:pPr>
      <w:bookmarkStart w:id="1" w:name="_heading=h.da23m556pup0" w:colFirst="0" w:colLast="0"/>
      <w:bookmarkEnd w:id="1"/>
      <w:r>
        <w:t>Pojęcie wymuszenia radiacyjnego</w:t>
      </w:r>
    </w:p>
    <w:p w:rsidR="00B74976" w:rsidRDefault="00B45C8D">
      <w:pPr>
        <w:spacing w:before="240" w:after="240" w:line="360" w:lineRule="auto"/>
        <w:ind w:firstLine="720"/>
        <w:jc w:val="both"/>
      </w:pPr>
      <w:r>
        <w:rPr>
          <w:b/>
        </w:rPr>
        <w:t>Wymuszenie radiacyjne</w:t>
      </w:r>
      <w:r>
        <w:t xml:space="preserve"> (ang. </w:t>
      </w:r>
      <w:proofErr w:type="spellStart"/>
      <w:r>
        <w:rPr>
          <w:i/>
        </w:rPr>
        <w:t>Radiative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Forcing</w:t>
      </w:r>
      <w:proofErr w:type="spellEnd"/>
      <w:r>
        <w:rPr>
          <w:i/>
        </w:rPr>
        <w:t>, RF</w:t>
      </w:r>
      <w:r>
        <w:t>) to wielkość opisująca, jak bardzo dany czynnik zewnętrzny zakłóca równowagę radiacyjną (energetyczną) systemu klimatycznego. Jest ono definiowane jako zmiana strumienia promieniowania netto (</w:t>
      </w:r>
      <w:proofErr w:type="spellStart"/>
      <w:r>
        <w:t>strumien</w:t>
      </w:r>
      <w:proofErr w:type="spellEnd"/>
      <w:r>
        <w:t xml:space="preserve"> </w:t>
      </w:r>
      <w:proofErr w:type="spellStart"/>
      <w:r>
        <w:t>prmie</w:t>
      </w:r>
      <w:r>
        <w:t>niowania</w:t>
      </w:r>
      <w:proofErr w:type="spellEnd"/>
      <w:r>
        <w:t xml:space="preserve"> skierowany w dół minus strumień promieniowania skierowany w górę) w górnej części troposfery lub na górnej granicy atmosfery (ok 100 km) wywołana np. wzrostem stężenia gazów cieplarnianych, obecnością aerozoli czy zmianą albedo powierzchni </w:t>
      </w:r>
      <w:r>
        <w:lastRenderedPageBreak/>
        <w:t xml:space="preserve">Ziemi. </w:t>
      </w:r>
      <w:r>
        <w:t>Wartość wymuszenia radiacyjnego wyrażana jest w watach na metr kwadratowy (</w:t>
      </w:r>
      <w:r>
        <w:rPr>
          <w:b/>
        </w:rPr>
        <w:t>W/m²</w:t>
      </w:r>
      <w:r>
        <w:t xml:space="preserve">) i </w:t>
      </w:r>
      <w:r>
        <w:rPr>
          <w:b/>
        </w:rPr>
        <w:t>określana względem stanu bazowego</w:t>
      </w:r>
      <w:r>
        <w:t xml:space="preserve">, najczęściej klimatu </w:t>
      </w:r>
      <w:r>
        <w:rPr>
          <w:b/>
        </w:rPr>
        <w:t>przedprzemysłowego</w:t>
      </w:r>
      <w:r>
        <w:t xml:space="preserve"> (rok 1750 lub 1850). Dodatnie wymuszenie radiacyjne oznacza ocieplanie klimatu (np. wskutek emisji </w:t>
      </w:r>
      <w:r>
        <w:t>CO₂), natomiast ujemne – jego ochładzanie (np. przez aerozole odbijające promieniowanie słoneczne). Wymuszenie radiacyjne (RF) wyraża się różnicę strumienia promieniowania netto przed i po zaburzeniu zgodnie ze wzorem:</w:t>
      </w:r>
    </w:p>
    <w:p w:rsidR="00B74976" w:rsidRDefault="00B45C8D">
      <w:pPr>
        <w:ind w:left="360"/>
      </w:pPr>
      <m:oMathPara>
        <m:oMath>
          <m:r>
            <w:rPr>
              <w:rFonts w:ascii="Cambria Math" w:hAnsi="Cambria Math"/>
            </w:rPr>
            <m:t>RF</m:t>
          </m:r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net</m:t>
              </m:r>
            </m:sub>
          </m:sSub>
          <m: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w:rPr>
              <w:rFonts w:ascii="Cambria Math" w:hAnsi="Cambria Math"/>
            </w:rPr>
            <m:t>)-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net</m:t>
              </m:r>
            </m:sub>
          </m:sSub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[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  <m:r>
                    <w:rPr>
                      <w:rFonts w:ascii="Cambria Math" w:hAnsi="Cambria Math"/>
                    </w:rPr>
                    <m:t>w</m:t>
                  </m:r>
                </m:sub>
                <m:sup>
                  <m:r>
                    <w:rPr>
                      <w:rFonts w:ascii="Cambria Math" w:hAnsi="Cambria Math"/>
                    </w:rPr>
                    <m:t>↓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lw</m:t>
                  </m:r>
                </m:sub>
                <m:sup>
                  <m:r>
                    <w:rPr>
                      <w:rFonts w:ascii="Cambria Math" w:hAnsi="Cambria Math"/>
                    </w:rPr>
                    <m:t>↓</m:t>
                  </m:r>
                </m:sup>
              </m:sSubSup>
              <m:r>
                <w:rPr>
                  <w:rFonts w:ascii="Cambria Math" w:hAnsi="Cambria Math"/>
                </w:rPr>
                <m:t>-(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sw</m:t>
                  </m:r>
                </m:sub>
                <m:sup>
                  <m:r>
                    <w:rPr>
                      <w:rFonts w:ascii="Cambria Math" w:hAnsi="Cambria Math"/>
                    </w:rPr>
                    <m:t>↑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lw</m:t>
                  </m:r>
                </m:sub>
                <m:sup>
                  <m:r>
                    <w:rPr>
                      <w:rFonts w:ascii="Cambria Math" w:hAnsi="Cambria Math"/>
                    </w:rPr>
                    <m:t>↑</m:t>
                  </m:r>
                </m:sup>
              </m:sSubSup>
              <m:r>
                <w:rPr>
                  <w:rFonts w:ascii="Cambria Math" w:hAnsi="Cambria Math"/>
                </w:rPr>
                <m:t>)]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[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sw</m:t>
                  </m:r>
                </m:sub>
                <m:sup>
                  <m:r>
                    <w:rPr>
                      <w:rFonts w:ascii="Cambria Math" w:hAnsi="Cambria Math"/>
                    </w:rPr>
                    <m:t>↓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lw</m:t>
                  </m:r>
                </m:sub>
                <m:sup>
                  <m:r>
                    <w:rPr>
                      <w:rFonts w:ascii="Cambria Math" w:hAnsi="Cambria Math"/>
                    </w:rPr>
                    <m:t>↓</m:t>
                  </m:r>
                </m:sup>
              </m:sSubSup>
              <m:r>
                <w:rPr>
                  <w:rFonts w:ascii="Cambria Math" w:hAnsi="Cambria Math"/>
                </w:rPr>
                <m:t>-(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sw</m:t>
                  </m:r>
                </m:sub>
                <m:sup>
                  <m:r>
                    <w:rPr>
                      <w:rFonts w:ascii="Cambria Math" w:hAnsi="Cambria Math"/>
                    </w:rPr>
                    <m:t>↑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lw</m:t>
                  </m:r>
                </m:sub>
                <m:sup>
                  <m:r>
                    <w:rPr>
                      <w:rFonts w:ascii="Cambria Math" w:hAnsi="Cambria Math"/>
                    </w:rPr>
                    <m:t>↑</m:t>
                  </m:r>
                </m:sup>
              </m:sSubSup>
              <m:r>
                <w:rPr>
                  <w:rFonts w:ascii="Cambria Math" w:hAnsi="Cambria Math"/>
                </w:rPr>
                <m:t>)]</m:t>
              </m:r>
            </m:e>
            <m:sub>
              <m:r>
                <w:rPr>
                  <w:rFonts w:ascii="Cambria Math" w:hAnsi="Cambria Math"/>
                </w:rPr>
                <m:t>to</m:t>
              </m:r>
            </m:sub>
          </m:sSub>
        </m:oMath>
      </m:oMathPara>
    </w:p>
    <w:p w:rsidR="00B74976" w:rsidRDefault="00B45C8D">
      <w:pPr>
        <w:spacing w:before="240" w:after="240" w:line="360" w:lineRule="auto"/>
        <w:jc w:val="both"/>
      </w:pPr>
      <w:r>
        <w:t xml:space="preserve">gdzie odpowiednie strumienie promieniowania krótko (SW) i długo (LW) falowego oznaczają ↓ propagacje promieniowania w kierunku </w:t>
      </w:r>
      <w:proofErr w:type="spellStart"/>
      <w:r>
        <w:t>powiewierzchni</w:t>
      </w:r>
      <w:proofErr w:type="spellEnd"/>
      <w:r>
        <w:t xml:space="preserve"> Ziemi  i ↑ w kierunku przestrzeni kosmic</w:t>
      </w:r>
      <w:r>
        <w:t xml:space="preserve">znej, zaś t oznaczą stan zaburzony np. w </w:t>
      </w:r>
      <w:proofErr w:type="spellStart"/>
      <w:r>
        <w:t>konketrnym</w:t>
      </w:r>
      <w:proofErr w:type="spellEnd"/>
      <w:r>
        <w:t xml:space="preserve"> roku, a t</w:t>
      </w:r>
      <w:r>
        <w:rPr>
          <w:vertAlign w:val="subscript"/>
        </w:rPr>
        <w:t>o</w:t>
      </w:r>
      <w:r>
        <w:t xml:space="preserve"> stan niezaburzony (referencyjny) </w:t>
      </w:r>
      <w:proofErr w:type="spellStart"/>
      <w:r>
        <w:t>np</w:t>
      </w:r>
      <w:proofErr w:type="spellEnd"/>
      <w:r>
        <w:t xml:space="preserve"> w 1750 r. </w:t>
      </w:r>
    </w:p>
    <w:p w:rsidR="00B74976" w:rsidRDefault="00B45C8D">
      <w:pPr>
        <w:spacing w:before="240" w:after="240" w:line="360" w:lineRule="auto"/>
        <w:jc w:val="both"/>
      </w:pPr>
      <w:r>
        <w:t xml:space="preserve">W przypadku dwutlenek węgla wymuszenie radiacyjne </w:t>
      </w:r>
      <w:proofErr w:type="spellStart"/>
      <w:r>
        <w:t>moższa</w:t>
      </w:r>
      <w:proofErr w:type="spellEnd"/>
      <w:r>
        <w:t xml:space="preserve"> oszacować na podstawie przybliżonego </w:t>
      </w:r>
      <w:proofErr w:type="spellStart"/>
      <w:r>
        <w:t>równiania</w:t>
      </w:r>
      <w:proofErr w:type="spellEnd"/>
      <w:r>
        <w:t>:</w:t>
      </w:r>
    </w:p>
    <w:p w:rsidR="00B74976" w:rsidRDefault="00B45C8D">
      <w:pPr>
        <w:spacing w:before="240" w:after="240"/>
        <w:jc w:val="both"/>
      </w:pPr>
      <m:oMathPara>
        <m:oMath>
          <m:r>
            <w:rPr>
              <w:rFonts w:ascii="Cambria Math" w:hAnsi="Cambria Math"/>
            </w:rPr>
            <m:t>RF</m:t>
          </m:r>
          <m:r>
            <w:rPr>
              <w:rFonts w:ascii="Cambria Math" w:hAnsi="Cambria Math"/>
            </w:rPr>
            <m:t>=5.35</m:t>
          </m:r>
          <m:r>
            <w:rPr>
              <w:rFonts w:ascii="Cambria Math" w:hAnsi="Cambria Math"/>
            </w:rPr>
            <m:t>ln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o</m:t>
                  </m:r>
                </m:sub>
              </m:sSub>
            </m:den>
          </m:f>
        </m:oMath>
      </m:oMathPara>
    </w:p>
    <w:p w:rsidR="00B74976" w:rsidRDefault="00B45C8D">
      <w:pPr>
        <w:spacing w:before="240" w:after="240" w:line="360" w:lineRule="auto"/>
        <w:jc w:val="both"/>
      </w:pPr>
      <w:r>
        <w:t>gdzie: C to koncentra</w:t>
      </w:r>
      <w:r>
        <w:t>cja CO</w:t>
      </w:r>
      <w:r>
        <w:rPr>
          <w:vertAlign w:val="subscript"/>
        </w:rPr>
        <w:t>2</w:t>
      </w:r>
      <w:r>
        <w:t xml:space="preserve"> (</w:t>
      </w:r>
      <w:proofErr w:type="spellStart"/>
      <w:r>
        <w:t>ppm</w:t>
      </w:r>
      <w:proofErr w:type="spellEnd"/>
      <w:r>
        <w:t>) a C</w:t>
      </w:r>
      <w:r>
        <w:rPr>
          <w:vertAlign w:val="subscript"/>
        </w:rPr>
        <w:t>o</w:t>
      </w:r>
      <w:r>
        <w:t xml:space="preserve"> </w:t>
      </w:r>
      <w:proofErr w:type="spellStart"/>
      <w:r>
        <w:t>referencujna</w:t>
      </w:r>
      <w:proofErr w:type="spellEnd"/>
      <w:r>
        <w:t xml:space="preserve"> wartości </w:t>
      </w:r>
      <w:proofErr w:type="spellStart"/>
      <w:r>
        <w:t>konceracji</w:t>
      </w:r>
      <w:proofErr w:type="spellEnd"/>
      <w:r>
        <w:t xml:space="preserve"> CO</w:t>
      </w:r>
      <w:r>
        <w:rPr>
          <w:vertAlign w:val="subscript"/>
        </w:rPr>
        <w:t xml:space="preserve">2, </w:t>
      </w:r>
      <w:r>
        <w:t xml:space="preserve">(278 </w:t>
      </w:r>
      <w:proofErr w:type="spellStart"/>
      <w:r>
        <w:t>ppm</w:t>
      </w:r>
      <w:proofErr w:type="spellEnd"/>
      <w:r>
        <w:t>). Równanie to pokazuje, że wpływ CO₂ na wymuszenie radiacyjne rośnie logarytmicznie – każdy kolejny wzrost stężenia o tę samą wartość wywołuje coraz mniejszy efekt, ale wymuszenie nadal rośn</w:t>
      </w:r>
      <w:r>
        <w:t>ie wraz z emisjami.</w:t>
      </w:r>
    </w:p>
    <w:p w:rsidR="00B74976" w:rsidRDefault="00B45C8D">
      <w:pPr>
        <w:spacing w:before="240" w:after="240" w:line="360" w:lineRule="auto"/>
        <w:jc w:val="both"/>
      </w:pPr>
      <w:r>
        <w:rPr>
          <w:noProof/>
          <w:lang w:val="pl-PL"/>
        </w:rPr>
        <w:lastRenderedPageBreak/>
        <w:drawing>
          <wp:inline distT="114300" distB="114300" distL="114300" distR="114300">
            <wp:extent cx="5760410" cy="3708400"/>
            <wp:effectExtent l="0" t="0" r="0" b="0"/>
            <wp:docPr id="23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70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4976" w:rsidRDefault="00B45C8D">
      <w:pPr>
        <w:spacing w:before="240" w:after="240" w:line="360" w:lineRule="auto"/>
        <w:ind w:firstLine="720"/>
        <w:jc w:val="both"/>
      </w:pPr>
      <w:r>
        <w:t>Rys. Budżet energetyczny systemu klimatycznego (</w:t>
      </w:r>
      <w:r>
        <w:rPr>
          <w:color w:val="0563C1"/>
          <w:u w:val="single"/>
        </w:rPr>
        <w:t>https://www.ipcc.ch/report/ar6/wg1/figures/chapter-7/figure-7-2/</w:t>
      </w:r>
      <w:r>
        <w:t>)</w:t>
      </w:r>
    </w:p>
    <w:p w:rsidR="00B74976" w:rsidRDefault="00B45C8D">
      <w:pPr>
        <w:spacing w:before="240" w:after="240" w:line="360" w:lineRule="auto"/>
        <w:ind w:firstLine="720"/>
        <w:jc w:val="both"/>
      </w:pPr>
      <w:r>
        <w:t xml:space="preserve">W najnowszym raporcie IPCC AR6, stosuje się rozszerzoną definicję zwaną </w:t>
      </w:r>
      <w:r>
        <w:rPr>
          <w:b/>
        </w:rPr>
        <w:t>skutecznym wymuszeniem radiacyjnym</w:t>
      </w:r>
      <w:r>
        <w:t xml:space="preserve"> (ang. </w:t>
      </w:r>
      <w:proofErr w:type="spellStart"/>
      <w:r>
        <w:rPr>
          <w:i/>
        </w:rPr>
        <w:t>Effective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Radiative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Forcing</w:t>
      </w:r>
      <w:proofErr w:type="spellEnd"/>
      <w:r>
        <w:rPr>
          <w:i/>
        </w:rPr>
        <w:t>, ERF</w:t>
      </w:r>
      <w:r>
        <w:t>). Uwzględnia ono nie tylko bezpośrednie zmiany w bilansie promieniowania, ale także szybkie procesy fizyczne i atmosferyczne zachodzące w odpowiedzi na wymuszenie, takie jak zmiany zachmurzenia, pary wodnej (będącej najważn</w:t>
      </w:r>
      <w:r>
        <w:t>iejszym gazem cieplarnianym) czy zmiany w cyrkulacji atmosferycznej. Dzięki temu ERF dokładniej opisuje wpływ czynników klimatycznych na system klimatyczny i jest standardowo używane w modelach klimatycznych oraz projekcjach przyszłych zmian klimatu.</w:t>
      </w:r>
    </w:p>
    <w:p w:rsidR="00B74976" w:rsidRDefault="00B45C8D">
      <w:pPr>
        <w:spacing w:line="360" w:lineRule="auto"/>
        <w:ind w:firstLine="720"/>
        <w:jc w:val="both"/>
      </w:pPr>
      <w:r>
        <w:t>Wymus</w:t>
      </w:r>
      <w:r>
        <w:t xml:space="preserve">zenie radiacyjne może być wyznaczane zarówno na podstawie pomiarów, jak i przy użyciu </w:t>
      </w:r>
      <w:r>
        <w:rPr>
          <w:b/>
        </w:rPr>
        <w:t>modeli transferu promieniowania</w:t>
      </w:r>
      <w:r>
        <w:t>. Modele te opisują sposób, w jaki promieniowanie słoneczne oraz promieniowanie długofalowe Ziemi propaguje się przez atmosferę i wchodzi w</w:t>
      </w:r>
      <w:r>
        <w:t xml:space="preserve"> interakcje z jej składnikami, takimi jak gazy cieplarniane, aerozole czy chmury. Obliczenia te wykorzystują równania fizyczne opisujące absorpcję, emisję i rozpraszanie promieniowania. W zależności od poziomu szczegółowości stosuje się modele uproszczone </w:t>
      </w:r>
      <w:r>
        <w:t xml:space="preserve">(np. schematy dwustrumieniowe) lub dokładne linia-po-linii (Line-By-Line, </w:t>
      </w:r>
      <w:r>
        <w:lastRenderedPageBreak/>
        <w:t>LBL), które analizują widmowe właściwości atmosfery z wysoką rozdzielczością. Modele transferu radiacyjnego są kluczowym narzędziem w klimatologii i stanowią podstawę do obliczeń wym</w:t>
      </w:r>
      <w:r>
        <w:t>uszania radiacyjnego w modelach klimatu oraz raportach IPCC.</w:t>
      </w:r>
    </w:p>
    <w:p w:rsidR="00B74976" w:rsidRDefault="00B74976">
      <w:pPr>
        <w:ind w:left="360"/>
      </w:pPr>
    </w:p>
    <w:p w:rsidR="00B74976" w:rsidRDefault="00B45C8D">
      <w:pPr>
        <w:pStyle w:val="Nagwek1"/>
        <w:numPr>
          <w:ilvl w:val="1"/>
          <w:numId w:val="3"/>
        </w:numPr>
        <w:spacing w:line="360" w:lineRule="auto"/>
      </w:pPr>
      <w:bookmarkStart w:id="2" w:name="_heading=h.jl5gqlcwr34i" w:colFirst="0" w:colLast="0"/>
      <w:bookmarkEnd w:id="2"/>
      <w:r>
        <w:t>Modele klimatu</w:t>
      </w:r>
    </w:p>
    <w:p w:rsidR="00B74976" w:rsidRDefault="00B45C8D">
      <w:pPr>
        <w:spacing w:before="240" w:after="240" w:line="360" w:lineRule="auto"/>
        <w:ind w:firstLine="720"/>
        <w:jc w:val="both"/>
      </w:pPr>
      <w:r>
        <w:rPr>
          <w:b/>
        </w:rPr>
        <w:t>Modele klimatu</w:t>
      </w:r>
      <w:r>
        <w:t xml:space="preserve"> to narzędzia </w:t>
      </w:r>
      <w:proofErr w:type="spellStart"/>
      <w:r>
        <w:t>fizyczo</w:t>
      </w:r>
      <w:proofErr w:type="spellEnd"/>
      <w:r>
        <w:t>-matematyczne i numeryczne służące do opisu oraz prognozowania zachowania systemu klimatycznego. Ich zadaniem jest symulacja procesów fizycznych</w:t>
      </w:r>
      <w:r>
        <w:t xml:space="preserve">, chemicznych i biologicznych zachodzących w atmosferze, oceanach, kriosferze i biosferze oraz wzajemnych interakcji między tymi komponentami. Modele klimatu różnią się poziomem złożoności: od prostych </w:t>
      </w:r>
      <w:r>
        <w:rPr>
          <w:b/>
        </w:rPr>
        <w:t>modeli zero- lub jednowymiarowych</w:t>
      </w:r>
      <w:r>
        <w:t xml:space="preserve"> (np. modele bilansu </w:t>
      </w:r>
      <w:r>
        <w:t xml:space="preserve">energetycznego), poprzez </w:t>
      </w:r>
      <w:r>
        <w:rPr>
          <w:b/>
        </w:rPr>
        <w:t xml:space="preserve">modele sprzężone EMIC (Earth System </w:t>
      </w:r>
      <w:proofErr w:type="spellStart"/>
      <w:r>
        <w:rPr>
          <w:b/>
        </w:rPr>
        <w:t>Models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Intermediate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Complexity</w:t>
      </w:r>
      <w:proofErr w:type="spellEnd"/>
      <w:r>
        <w:rPr>
          <w:b/>
        </w:rPr>
        <w:t>)</w:t>
      </w:r>
      <w:r>
        <w:t xml:space="preserve">, aż po </w:t>
      </w:r>
      <w:r>
        <w:rPr>
          <w:b/>
        </w:rPr>
        <w:t>wysokorozdzielcze modele ogólnej cyrkulacji atmosfery i oceanów (GCM/ESM)</w:t>
      </w:r>
      <w:r>
        <w:t>, które stosowane są w raportach IPCC. Modele te pozwalają analizować wpływ czyn</w:t>
      </w:r>
      <w:r>
        <w:t>ników naturalnych i antropogenicznych, takich jak emisje gazów cieplarnianych czy zmiany albedo, na klimat w skali dekad, wieków, a nawet mileniów. Mimo że symulacje klimatyczne obarczone są pewnym poziomem niepewności, wynikającym m.in. z ograniczeń danyc</w:t>
      </w:r>
      <w:r>
        <w:t>h wejściowych oraz uproszczeń procesów fizycznych, pozostają one podstawowym narzędziem do oceny przyszłych zmian klimatycznych.</w:t>
      </w:r>
    </w:p>
    <w:p w:rsidR="00B74976" w:rsidRDefault="00B74976"/>
    <w:p w:rsidR="00B74976" w:rsidRDefault="00B45C8D">
      <w:pPr>
        <w:pStyle w:val="Nagwek1"/>
        <w:numPr>
          <w:ilvl w:val="1"/>
          <w:numId w:val="3"/>
        </w:numPr>
        <w:spacing w:line="360" w:lineRule="auto"/>
      </w:pPr>
      <w:bookmarkStart w:id="3" w:name="_heading=h.java6g1mzaz6" w:colFirst="0" w:colLast="0"/>
      <w:bookmarkEnd w:id="3"/>
      <w:r>
        <w:t>Opis prostego modelu klimatu</w:t>
      </w:r>
    </w:p>
    <w:p w:rsidR="00B74976" w:rsidRDefault="00B45C8D">
      <w:pPr>
        <w:spacing w:line="360" w:lineRule="auto"/>
        <w:ind w:firstLine="708"/>
        <w:jc w:val="both"/>
      </w:pPr>
      <w:bookmarkStart w:id="4" w:name="_heading=h.691809161gbo" w:colFirst="0" w:colLast="0"/>
      <w:bookmarkEnd w:id="4"/>
      <w:r>
        <w:t>W prostym modelu klimatu przyjmuje się, że powierzchnia Ziemi jest reprezentowana wyłącznie przez</w:t>
      </w:r>
      <w:r>
        <w:t xml:space="preserve"> ocean podzielony na dwie warstwy. Górna warstwa zwana warstwą graniczną (warstwa mieszania) styka się bezpośrednio z atmosferą. Dokładnie warstwa mieszania w modelu zawiera również troposferę zatem zmiany temperatury tej warstwy określone są przez wymusze</w:t>
      </w:r>
      <w:r>
        <w:t xml:space="preserve">nie radiacyjne na wysokości tropopauzy. Ponadto w oceanie magazynowana jest  praktycznie cała energia systemu klimatycznego. Można </w:t>
      </w:r>
      <w:proofErr w:type="spellStart"/>
      <w:r>
        <w:t>przyjąc</w:t>
      </w:r>
      <w:proofErr w:type="spellEnd"/>
      <w:r>
        <w:t>, że warstwa mieszania ma grubość 100 metrów, zaś niższa warstwa oceanu ma grubość 3.9 km. Warunki te odpowiadają śred</w:t>
      </w:r>
      <w:r>
        <w:t xml:space="preserve">nio </w:t>
      </w:r>
      <w:proofErr w:type="spellStart"/>
      <w:r>
        <w:t>warunom</w:t>
      </w:r>
      <w:proofErr w:type="spellEnd"/>
      <w:r>
        <w:t xml:space="preserve"> rzeczywistym z tą różnicą, że w rzeczywistym oceanie mamy do czynienia z warstwą przejściową termokliną, która nie jest </w:t>
      </w:r>
      <w:proofErr w:type="spellStart"/>
      <w:r>
        <w:t>zdefiniowan</w:t>
      </w:r>
      <w:proofErr w:type="spellEnd"/>
      <w:r>
        <w:t xml:space="preserve"> w tym modelu. Wymiana energii pomiędzy tymi warstwami następuje na skutek turbulencji i dyfuzji ciepła. Zmiennym</w:t>
      </w:r>
      <w:r>
        <w:t xml:space="preserve">i modelu są: zmiana temperatury w warstwie mieszania </w:t>
      </w:r>
      <w:proofErr w:type="spellStart"/>
      <w:r>
        <w:t>ΔT</w:t>
      </w:r>
      <w:r>
        <w:rPr>
          <w:vertAlign w:val="subscript"/>
        </w:rPr>
        <w:t>m</w:t>
      </w:r>
      <w:proofErr w:type="spellEnd"/>
      <w:r>
        <w:t xml:space="preserve"> oraz  w głębi oceanicznej </w:t>
      </w:r>
      <w:proofErr w:type="spellStart"/>
      <w:r>
        <w:t>ΔT</w:t>
      </w:r>
      <w:r>
        <w:rPr>
          <w:vertAlign w:val="subscript"/>
        </w:rPr>
        <w:t>d</w:t>
      </w:r>
      <w:proofErr w:type="spellEnd"/>
      <w:r>
        <w:t xml:space="preserve">. Obie wielkości w chwili początkowej mają wartość zero, gdyż model znajduje się w stanie równowagi. Rozważmy pierwszą warstwę mieszania i zignorujmy na </w:t>
      </w:r>
      <w:r>
        <w:lastRenderedPageBreak/>
        <w:t>moment dyfuzje ci</w:t>
      </w:r>
      <w:r>
        <w:t>epła z niższej warstwy oceanu. Wówczas zmiana temperatury w tej warstwie związana jest z wymuszeniem radiacyjnym ΔF, pojemnością cieplną warstwy C</w:t>
      </w:r>
      <w:r>
        <w:rPr>
          <w:vertAlign w:val="subscript"/>
        </w:rPr>
        <w:t>m</w:t>
      </w:r>
      <w:r>
        <w:t xml:space="preserve"> oraz sprzężeniem zwrotnym występującym w układzie. </w:t>
      </w:r>
    </w:p>
    <w:p w:rsidR="00B74976" w:rsidRDefault="00B74976"/>
    <w:p w:rsidR="00B74976" w:rsidRDefault="00B74976"/>
    <w:p w:rsidR="00B74976" w:rsidRDefault="00B74976"/>
    <w:p w:rsidR="00B74976" w:rsidRDefault="00B45C8D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3632" behindDoc="0" locked="0" layoutInCell="1" hidden="0" allowOverlap="1">
                <wp:simplePos x="0" y="0"/>
                <wp:positionH relativeFrom="column">
                  <wp:posOffset>-45719</wp:posOffset>
                </wp:positionH>
                <wp:positionV relativeFrom="paragraph">
                  <wp:posOffset>-350519</wp:posOffset>
                </wp:positionV>
                <wp:extent cx="1463040" cy="2651760"/>
                <wp:effectExtent l="0" t="0" r="0" b="0"/>
                <wp:wrapSquare wrapText="right" distT="0" distB="0" distL="114300" distR="114300"/>
                <wp:docPr id="20" name="Grupa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0" cy="2651760"/>
                          <a:chOff x="4609700" y="2454100"/>
                          <a:chExt cx="1472600" cy="2655275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4614480" y="2454120"/>
                            <a:ext cx="1463040" cy="2651760"/>
                            <a:chOff x="2016" y="9792"/>
                            <a:chExt cx="2304" cy="4176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016" y="9792"/>
                              <a:ext cx="2300" cy="4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74976" w:rsidRDefault="00B7497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Prostokąt 3"/>
                          <wps:cNvSpPr/>
                          <wps:spPr>
                            <a:xfrm>
                              <a:off x="2016" y="10942"/>
                              <a:ext cx="2304" cy="10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74976" w:rsidRDefault="00B7497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Prostokąt 4"/>
                          <wps:cNvSpPr/>
                          <wps:spPr>
                            <a:xfrm>
                              <a:off x="2016" y="11950"/>
                              <a:ext cx="2304" cy="20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74976" w:rsidRDefault="00B7497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Łącznik prosty ze strzałką 5"/>
                          <wps:cNvCnPr/>
                          <wps:spPr>
                            <a:xfrm>
                              <a:off x="4032" y="10944"/>
                              <a:ext cx="0" cy="10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triangl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" name="Łącznik prosty ze strzałką 6"/>
                          <wps:cNvCnPr/>
                          <wps:spPr>
                            <a:xfrm>
                              <a:off x="4032" y="11952"/>
                              <a:ext cx="0" cy="2016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triangl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7" name="Prostokąt 7"/>
                          <wps:cNvSpPr/>
                          <wps:spPr>
                            <a:xfrm>
                              <a:off x="2304" y="11230"/>
                              <a:ext cx="1584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74976" w:rsidRDefault="00B45C8D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warstwa wiesz.</w:t>
                                </w:r>
                              </w:p>
                              <w:p w:rsidR="00B74976" w:rsidRDefault="00B7497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Prostokąt 8"/>
                          <wps:cNvSpPr/>
                          <wps:spPr>
                            <a:xfrm>
                              <a:off x="2157" y="13246"/>
                              <a:ext cx="1728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74976" w:rsidRDefault="00B45C8D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głębia oceanu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Łącznik prosty ze strzałką 9"/>
                          <wps:cNvCnPr/>
                          <wps:spPr>
                            <a:xfrm>
                              <a:off x="3168" y="10654"/>
                              <a:ext cx="0" cy="28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0" name="Prostokąt 10"/>
                          <wps:cNvSpPr/>
                          <wps:spPr>
                            <a:xfrm>
                              <a:off x="2448" y="12240"/>
                              <a:ext cx="1296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74976" w:rsidRDefault="00B45C8D">
                                <w:pPr>
                                  <w:textDirection w:val="btLr"/>
                                </w:pPr>
                                <w:r>
                                  <w:rPr>
                                    <w:i/>
                                    <w:color w:val="000000"/>
                                  </w:rPr>
                                  <w:t>dyfuzja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" name="Łącznik prosty ze strzałką 11"/>
                          <wps:cNvCnPr/>
                          <wps:spPr>
                            <a:xfrm>
                              <a:off x="3024" y="11808"/>
                              <a:ext cx="0" cy="43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 cmpd="sng">
                              <a:solidFill>
                                <a:srgbClr val="000000"/>
                              </a:solidFill>
                              <a:prstDash val="dot"/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2" name="Prostokąt 12"/>
                          <wps:cNvSpPr/>
                          <wps:spPr>
                            <a:xfrm>
                              <a:off x="2157" y="9792"/>
                              <a:ext cx="2016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74976" w:rsidRDefault="00B45C8D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Wymuszanie rad.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3" name="Łącznik prosty ze strzałką 13"/>
                          <wps:cNvCnPr/>
                          <wps:spPr>
                            <a:xfrm>
                              <a:off x="3168" y="10368"/>
                              <a:ext cx="0" cy="28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</wp:posOffset>
                </wp:positionH>
                <wp:positionV relativeFrom="paragraph">
                  <wp:posOffset>-350519</wp:posOffset>
                </wp:positionV>
                <wp:extent cx="1463040" cy="2651760"/>
                <wp:effectExtent b="0" l="0" r="0" t="0"/>
                <wp:wrapSquare wrapText="right" distB="0" distT="0" distL="114300" distR="114300"/>
                <wp:docPr id="20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2651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74976" w:rsidRDefault="00B74976"/>
    <w:p w:rsidR="00B74976" w:rsidRDefault="00B45C8D">
      <w:pPr>
        <w:jc w:val="center"/>
      </w:pPr>
      <w:r>
        <w:rPr>
          <w:sz w:val="36"/>
          <w:szCs w:val="36"/>
          <w:vertAlign w:val="subscript"/>
        </w:rPr>
        <w:object w:dxaOrig="2655" w:dyaOrig="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75pt;height:32.25pt" o:ole="" fillcolor="window">
            <v:imagedata r:id="rId48" o:title=""/>
          </v:shape>
          <o:OLEObject Type="Embed" ProgID="Equation.3" ShapeID="_x0000_i1025" DrawAspect="Content" ObjectID="_1823061545" r:id="rId49"/>
        </w:object>
      </w:r>
      <w:r>
        <w:t xml:space="preserve">.                </w:t>
      </w:r>
      <w:r>
        <w:tab/>
        <w:t xml:space="preserve"> (1)</w:t>
      </w:r>
    </w:p>
    <w:p w:rsidR="00B74976" w:rsidRDefault="00B74976"/>
    <w:p w:rsidR="00B74976" w:rsidRDefault="00B45C8D">
      <w:pPr>
        <w:spacing w:line="360" w:lineRule="auto"/>
      </w:pPr>
      <w:r>
        <w:t xml:space="preserve">W przypadku stacjonarnym (po osiągnięciu stanu równowagi)  zmiana temperatury związana jest z wymuszeniem radiacyjnym poprzez parametr wrażliwości klimatu λ, </w:t>
      </w:r>
      <w:r>
        <w:rPr>
          <w:sz w:val="36"/>
          <w:szCs w:val="36"/>
          <w:vertAlign w:val="subscript"/>
        </w:rPr>
        <w:object w:dxaOrig="1185" w:dyaOrig="345">
          <v:shape id="_x0000_i1026" type="#_x0000_t75" style="width:59.25pt;height:17.25pt" o:ole="">
            <v:imagedata r:id="rId50" o:title=""/>
          </v:shape>
          <o:OLEObject Type="Embed" ProgID="Equation.3" ShapeID="_x0000_i1026" DrawAspect="Content" ObjectID="_1823061546" r:id="rId51"/>
        </w:object>
      </w:r>
      <w:r>
        <w:t>. Przepisując równanie (1) otrzymujemy:</w:t>
      </w:r>
    </w:p>
    <w:p w:rsidR="00B74976" w:rsidRDefault="00B45C8D">
      <w:r>
        <w:pict>
          <v:shape id="_x0000_s1053" type="#_x0000_t75" style="position:absolute;margin-left:4.5pt;margin-top:3.5pt;width:130pt;height:31.95pt;z-index:251655680;mso-position-horizontal:absolute;mso-position-horizontal-relative:margin;mso-position-vertical:absolute;mso-position-vertical-relative:text">
            <v:imagedata r:id="rId52" o:title=""/>
            <w10:wrap anchorx="margin"/>
          </v:shape>
          <o:OLEObject Type="Embed" ProgID="Equation.3" ShapeID="_x0000_s1053" DrawAspect="Content" ObjectID="_1823061557" r:id="rId53"/>
        </w:pict>
      </w:r>
    </w:p>
    <w:p w:rsidR="00B74976" w:rsidRDefault="00B45C8D">
      <w:r>
        <w:tab/>
      </w:r>
      <w:r>
        <w:tab/>
        <w:t xml:space="preserve">                                                  </w:t>
      </w:r>
      <w:r>
        <w:tab/>
        <w:t xml:space="preserve">       (2)</w:t>
      </w:r>
    </w:p>
    <w:p w:rsidR="00B74976" w:rsidRDefault="00B74976"/>
    <w:p w:rsidR="00B74976" w:rsidRDefault="00B45C8D">
      <w:pPr>
        <w:spacing w:line="360" w:lineRule="auto"/>
      </w:pPr>
      <w:r>
        <w:t xml:space="preserve">Rozwiązanie tego równania wymaga użycia czynnika całkującego </w:t>
      </w:r>
      <w:r>
        <w:rPr>
          <w:sz w:val="36"/>
          <w:szCs w:val="36"/>
          <w:vertAlign w:val="subscript"/>
        </w:rPr>
        <w:object w:dxaOrig="1260" w:dyaOrig="345">
          <v:shape id="_x0000_i1027" type="#_x0000_t75" style="width:63pt;height:17.25pt" o:ole="">
            <v:imagedata r:id="rId54" o:title=""/>
          </v:shape>
          <o:OLEObject Type="Embed" ProgID="Equation.3" ShapeID="_x0000_i1027" DrawAspect="Content" ObjectID="_1823061547" r:id="rId55"/>
        </w:object>
      </w:r>
      <w:r>
        <w:t>. Mnożąc obustronnie równanie otrzymujemy</w:t>
      </w:r>
    </w:p>
    <w:p w:rsidR="00B74976" w:rsidRDefault="00B45C8D">
      <w:r>
        <w:pict>
          <v:shape id="_x0000_s1054" type="#_x0000_t75" style="position:absolute;margin-left:0;margin-top:6.5pt;width:214pt;height:64pt;z-index:251656704;mso-position-horizontal:absolute;mso-position-horizontal-relative:margin;mso-position-vertical:absolute;mso-position-vertical-relative:text">
            <v:imagedata r:id="rId56" o:title=""/>
            <w10:wrap anchorx="margin"/>
          </v:shape>
          <o:OLEObject Type="Embed" ProgID="Equation.3" ShapeID="_x0000_s1054" DrawAspect="Content" ObjectID="_1823061558" r:id="rId57"/>
        </w:pict>
      </w:r>
    </w:p>
    <w:p w:rsidR="00B74976" w:rsidRDefault="00B45C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(3)</w:t>
      </w:r>
    </w:p>
    <w:p w:rsidR="00B74976" w:rsidRDefault="00B74976"/>
    <w:p w:rsidR="00B74976" w:rsidRDefault="00B45C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(4)</w:t>
      </w:r>
    </w:p>
    <w:p w:rsidR="00B74976" w:rsidRDefault="00B74976"/>
    <w:p w:rsidR="00B74976" w:rsidRDefault="00B45C8D">
      <w:r>
        <w:t>Całkując od czasu t=0 do t=t dostajemy:</w:t>
      </w:r>
    </w:p>
    <w:p w:rsidR="00B74976" w:rsidRDefault="00B45C8D">
      <w:r>
        <w:pict>
          <v:shape id="_x0000_s1055" type="#_x0000_t75" style="position:absolute;margin-left:0;margin-top:5.7pt;width:191pt;height:34pt;z-index:251657728;mso-position-horizontal:absolute;mso-position-horizontal-relative:margin;mso-position-vertical:absolute;mso-position-vertical-relative:text">
            <v:imagedata r:id="rId58" o:title=""/>
            <w10:wrap anchorx="margin"/>
          </v:shape>
          <o:OLEObject Type="Embed" ProgID="Equation.3" ShapeID="_x0000_s1055" DrawAspect="Content" ObjectID="_1823061559" r:id="rId59"/>
        </w:pict>
      </w:r>
    </w:p>
    <w:p w:rsidR="00B74976" w:rsidRDefault="00B45C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(5)</w:t>
      </w:r>
    </w:p>
    <w:p w:rsidR="00B74976" w:rsidRDefault="00B74976"/>
    <w:p w:rsidR="00B74976" w:rsidRDefault="00B45C8D">
      <w:r>
        <w:pict>
          <v:shape id="_x0000_s1056" type="#_x0000_t75" style="position:absolute;margin-left:0;margin-top:.35pt;width:146pt;height:34pt;z-index:251658752;mso-position-horizontal:absolute;mso-position-horizontal-relative:margin;mso-position-vertical:absolute;mso-position-vertical-relative:text">
            <v:imagedata r:id="rId60" o:title=""/>
            <w10:wrap anchorx="margin"/>
          </v:shape>
          <o:OLEObject Type="Embed" ProgID="Equation.3" ShapeID="_x0000_s1056" DrawAspect="Content" ObjectID="_1823061560" r:id="rId61"/>
        </w:pict>
      </w:r>
    </w:p>
    <w:p w:rsidR="00B74976" w:rsidRDefault="00B45C8D"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t>6)</w:t>
      </w:r>
      <w:r>
        <w:tab/>
      </w:r>
      <w:r>
        <w:tab/>
      </w:r>
      <w:r>
        <w:tab/>
      </w:r>
    </w:p>
    <w:p w:rsidR="00B74976" w:rsidRDefault="00B45C8D">
      <w:pPr>
        <w:spacing w:line="360" w:lineRule="auto"/>
        <w:jc w:val="both"/>
      </w:pPr>
      <w:r>
        <w:t>Równanie to opisuje tak zwaną odpowiedz liniową modelu na zaburzenie. Wyznaczenie zmian temperatury wymaga znajomości ewolucji czasowej wymuszenia radiacyjnego. Tak więc odpowiedz układu w chwili t jest sumą odpowiedzi we wcześniejszych chwilach czas</w:t>
      </w:r>
      <w:r>
        <w:t xml:space="preserve">u a czynnik wykładniczy występujący w równania jest dobrze znaną funkcją </w:t>
      </w:r>
      <w:proofErr w:type="spellStart"/>
      <w:r>
        <w:t>Green’a</w:t>
      </w:r>
      <w:proofErr w:type="spellEnd"/>
      <w:r>
        <w:t xml:space="preserve">. </w:t>
      </w:r>
    </w:p>
    <w:p w:rsidR="00B74976" w:rsidRDefault="00B74976">
      <w:pPr>
        <w:spacing w:line="360" w:lineRule="auto"/>
      </w:pPr>
    </w:p>
    <w:p w:rsidR="00B74976" w:rsidRDefault="00B45C8D">
      <w:pPr>
        <w:spacing w:line="360" w:lineRule="auto"/>
        <w:rPr>
          <w:b/>
        </w:rPr>
      </w:pPr>
      <w:r>
        <w:rPr>
          <w:b/>
        </w:rPr>
        <w:t>Przykład 1: Stałe wymuszenie radiacyjne:</w:t>
      </w:r>
    </w:p>
    <w:p w:rsidR="00B74976" w:rsidRDefault="00B45C8D">
      <w:pPr>
        <w:spacing w:line="360" w:lineRule="auto"/>
      </w:pPr>
      <w:r>
        <w:t>W przypadku stałego wymuszenia radiacyjnego znamy rozwiązanie, gdyż układ  dla t →∞, osiąga stan równowagi opisywany równaniem</w:t>
      </w:r>
    </w:p>
    <w:p w:rsidR="00B74976" w:rsidRDefault="00B45C8D">
      <w:pPr>
        <w:spacing w:line="360" w:lineRule="auto"/>
      </w:pPr>
      <w:proofErr w:type="spellStart"/>
      <w:r>
        <w:rPr>
          <w:i/>
        </w:rPr>
        <w:lastRenderedPageBreak/>
        <w:t>ΔT</w:t>
      </w:r>
      <w:r>
        <w:rPr>
          <w:i/>
          <w:vertAlign w:val="subscript"/>
        </w:rPr>
        <w:t>m</w:t>
      </w:r>
      <w:proofErr w:type="spellEnd"/>
      <w:r>
        <w:rPr>
          <w:i/>
        </w:rPr>
        <w:t>=</w:t>
      </w:r>
      <w:r>
        <w:t xml:space="preserve">λ </w:t>
      </w:r>
      <w:r>
        <w:rPr>
          <w:i/>
        </w:rPr>
        <w:t>ΔF</w:t>
      </w:r>
      <w:r>
        <w:t xml:space="preserve"> 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(7)</w:t>
      </w:r>
    </w:p>
    <w:p w:rsidR="00B74976" w:rsidRDefault="00B45C8D">
      <w:pPr>
        <w:spacing w:line="360" w:lineRule="auto"/>
      </w:pPr>
      <w:r>
        <w:t xml:space="preserve">Rozwiązanie równania (6) pozwala nam przeanalizować jak układ klimatyczny dochodzi do tego stanu. </w:t>
      </w:r>
    </w:p>
    <w:p w:rsidR="00B74976" w:rsidRDefault="00B45C8D">
      <w:r>
        <w:pict>
          <v:shape id="_x0000_s1057" type="#_x0000_t75" style="position:absolute;margin-left:0;margin-top:.3pt;width:160pt;height:73pt;z-index:251659776;mso-position-horizontal:absolute;mso-position-horizontal-relative:margin;mso-position-vertical:absolute;mso-position-vertical-relative:text">
            <v:imagedata r:id="rId62" o:title=""/>
            <w10:wrap anchorx="margin"/>
          </v:shape>
          <o:OLEObject Type="Embed" ProgID="Equation.3" ShapeID="_x0000_s1057" DrawAspect="Content" ObjectID="_1823061561" r:id="rId63"/>
        </w:pict>
      </w:r>
    </w:p>
    <w:p w:rsidR="00B74976" w:rsidRDefault="00B45C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(8)</w:t>
      </w:r>
    </w:p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45C8D">
      <w:r>
        <w:rPr>
          <w:color w:val="000000"/>
          <w:sz w:val="48"/>
          <w:szCs w:val="48"/>
        </w:rPr>
        <w:t xml:space="preserve">           </w:t>
      </w:r>
      <w:r>
        <w:rPr>
          <w:noProof/>
          <w:lang w:val="pl-PL"/>
        </w:rPr>
        <mc:AlternateContent>
          <mc:Choice Requires="wpg">
            <w:drawing>
              <wp:inline distT="0" distB="0" distL="114300" distR="114300">
                <wp:extent cx="3938904" cy="3813175"/>
                <wp:effectExtent l="0" t="0" r="0" b="0"/>
                <wp:docPr id="21" name="Grupa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8904" cy="3813175"/>
                          <a:chOff x="3376525" y="1873400"/>
                          <a:chExt cx="3938925" cy="3813200"/>
                        </a:xfrm>
                      </wpg:grpSpPr>
                      <wpg:grpSp>
                        <wpg:cNvPr id="14" name="Grupa 14"/>
                        <wpg:cNvGrpSpPr/>
                        <wpg:grpSpPr>
                          <a:xfrm>
                            <a:off x="3376548" y="1873413"/>
                            <a:ext cx="3938900" cy="3813175"/>
                            <a:chOff x="0" y="0"/>
                            <a:chExt cx="3938900" cy="3813175"/>
                          </a:xfrm>
                        </wpg:grpSpPr>
                        <wps:wsp>
                          <wps:cNvPr id="15" name="Prostokąt 15"/>
                          <wps:cNvSpPr/>
                          <wps:spPr>
                            <a:xfrm>
                              <a:off x="0" y="0"/>
                              <a:ext cx="3938900" cy="3813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74976" w:rsidRDefault="00B7497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Łącznik prosty ze strzałką 16"/>
                          <wps:cNvCnPr/>
                          <wps:spPr>
                            <a:xfrm rot="10800000">
                              <a:off x="718200" y="73001"/>
                              <a:ext cx="0" cy="1458928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7" name="Łącznik prosty ze strzałką 17"/>
                          <wps:cNvCnPr/>
                          <wps:spPr>
                            <a:xfrm>
                              <a:off x="718200" y="1531930"/>
                              <a:ext cx="2800002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8" name="Łącznik prosty ze strzałką 18"/>
                          <wps:cNvCnPr/>
                          <wps:spPr>
                            <a:xfrm rot="10800000">
                              <a:off x="718200" y="1970038"/>
                              <a:ext cx="0" cy="1312925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9" name="Łącznik prosty ze strzałką 19"/>
                          <wps:cNvCnPr/>
                          <wps:spPr>
                            <a:xfrm>
                              <a:off x="718200" y="3282964"/>
                              <a:ext cx="2943702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2" name="Łącznik prosty ze strzałką 22"/>
                          <wps:cNvCnPr/>
                          <wps:spPr>
                            <a:xfrm rot="10800000">
                              <a:off x="1723001" y="437308"/>
                              <a:ext cx="0" cy="109462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4" name="Łącznik prosty ze strzałką 24"/>
                          <wps:cNvCnPr/>
                          <wps:spPr>
                            <a:xfrm>
                              <a:off x="1723001" y="437308"/>
                              <a:ext cx="1795201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25400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5" name="Łącznik prosty ze strzałką 25"/>
                          <wps:cNvCnPr/>
                          <wps:spPr>
                            <a:xfrm rot="10800000">
                              <a:off x="646000" y="437308"/>
                              <a:ext cx="722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6" name="Dowolny kształt 26"/>
                          <wps:cNvSpPr/>
                          <wps:spPr>
                            <a:xfrm>
                              <a:off x="1723001" y="2407447"/>
                              <a:ext cx="1938901" cy="8755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38901" h="875517" extrusionOk="0">
                                  <a:moveTo>
                                    <a:pt x="0" y="875517"/>
                                  </a:moveTo>
                                  <a:cubicBezTo>
                                    <a:pt x="83779" y="747837"/>
                                    <a:pt x="167559" y="620157"/>
                                    <a:pt x="287244" y="510718"/>
                                  </a:cubicBezTo>
                                  <a:cubicBezTo>
                                    <a:pt x="406929" y="401278"/>
                                    <a:pt x="562520" y="291839"/>
                                    <a:pt x="718111" y="218879"/>
                                  </a:cubicBezTo>
                                  <a:cubicBezTo>
                                    <a:pt x="873702" y="145919"/>
                                    <a:pt x="1017324" y="109439"/>
                                    <a:pt x="1220789" y="72959"/>
                                  </a:cubicBezTo>
                                  <a:cubicBezTo>
                                    <a:pt x="1424254" y="36479"/>
                                    <a:pt x="1819215" y="12159"/>
                                    <a:pt x="1938901" y="0"/>
                                  </a:cubicBezTo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74976" w:rsidRDefault="00B7497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Łącznik prosty ze strzałką 27"/>
                          <wps:cNvCnPr/>
                          <wps:spPr>
                            <a:xfrm>
                              <a:off x="718200" y="2407447"/>
                              <a:ext cx="3015103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12700" cap="rnd" cmpd="sng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114300" distR="114300">
                <wp:extent cx="3938904" cy="3813175"/>
                <wp:effectExtent b="0" l="0" r="0" t="0"/>
                <wp:docPr id="21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8904" cy="38131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B74976" w:rsidRDefault="00B45C8D">
      <w:pPr>
        <w:jc w:val="center"/>
        <w:rPr>
          <w:i/>
        </w:rPr>
      </w:pPr>
      <w:r>
        <w:rPr>
          <w:i/>
        </w:rPr>
        <w:t>Rys. Wymuszanie radiacyjne i odpowiedz systemu klimatycznego</w:t>
      </w:r>
    </w:p>
    <w:p w:rsidR="00B74976" w:rsidRDefault="00B74976">
      <w:pPr>
        <w:jc w:val="center"/>
        <w:rPr>
          <w:i/>
        </w:rPr>
      </w:pPr>
    </w:p>
    <w:p w:rsidR="00B74976" w:rsidRDefault="00B45C8D">
      <w:pPr>
        <w:spacing w:line="360" w:lineRule="auto"/>
        <w:jc w:val="both"/>
      </w:pPr>
      <w:r>
        <w:t xml:space="preserve">Najważniejszym wynikiem przedstawionych rachunków jest stała czasowa układ klimatycznego która wynosi </w:t>
      </w:r>
      <w:r>
        <w:rPr>
          <w:sz w:val="36"/>
          <w:szCs w:val="36"/>
          <w:vertAlign w:val="subscript"/>
        </w:rPr>
        <w:object w:dxaOrig="855" w:dyaOrig="345">
          <v:shape id="_x0000_i1028" type="#_x0000_t75" style="width:42.75pt;height:17.25pt" o:ole="">
            <v:imagedata r:id="rId64" o:title=""/>
          </v:shape>
          <o:OLEObject Type="Embed" ProgID="Equation.3" ShapeID="_x0000_i1028" DrawAspect="Content" ObjectID="_1823061548" r:id="rId65"/>
        </w:object>
      </w:r>
      <w:r>
        <w:t>. Aby wyznaczyć tą kluczową wielkość dla zmian klimatycznych musimy znać zarówno współczynnik wrażliwości klimatu jak i pojemność cieplna układu. W przypadku pierwszej wielkości znamy zakres zmian tego parametru to w przypadku pojemności ciepln</w:t>
      </w:r>
      <w:r>
        <w:t xml:space="preserve">ej sytuacja wygląda bardziej skomplikowana. </w:t>
      </w:r>
    </w:p>
    <w:p w:rsidR="00B74976" w:rsidRDefault="00B45C8D">
      <w:pPr>
        <w:jc w:val="both"/>
      </w:pPr>
      <w:r>
        <w:t>Pojemność cieplna układu klimatycznego C</w:t>
      </w:r>
      <w:r>
        <w:rPr>
          <w:vertAlign w:val="subscript"/>
        </w:rPr>
        <w:t>m</w:t>
      </w:r>
      <w:r>
        <w:t xml:space="preserve"> [J K</w:t>
      </w:r>
      <w:r>
        <w:rPr>
          <w:vertAlign w:val="superscript"/>
        </w:rPr>
        <w:t>-1</w:t>
      </w:r>
      <w:r>
        <w:t>m</w:t>
      </w:r>
      <w:r>
        <w:rPr>
          <w:vertAlign w:val="superscript"/>
        </w:rPr>
        <w:t>-2</w:t>
      </w:r>
      <w:r>
        <w:t xml:space="preserve">] dana jest wzorem </w:t>
      </w:r>
    </w:p>
    <w:p w:rsidR="00B74976" w:rsidRDefault="00B45C8D">
      <w:pPr>
        <w:spacing w:line="360" w:lineRule="auto"/>
        <w:jc w:val="both"/>
        <w:rPr>
          <w:i/>
        </w:rPr>
      </w:pPr>
      <w:r>
        <w:rPr>
          <w:i/>
          <w:sz w:val="36"/>
          <w:szCs w:val="36"/>
          <w:vertAlign w:val="subscript"/>
        </w:rPr>
        <w:object w:dxaOrig="1155" w:dyaOrig="375">
          <v:shape id="_x0000_i1029" type="#_x0000_t75" style="width:57.75pt;height:18.75pt" o:ole="">
            <v:imagedata r:id="rId66" o:title=""/>
          </v:shape>
          <o:OLEObject Type="Embed" ProgID="Equation.3" ShapeID="_x0000_i1029" DrawAspect="Content" ObjectID="_1823061549" r:id="rId67"/>
        </w:object>
      </w:r>
    </w:p>
    <w:p w:rsidR="00B74976" w:rsidRDefault="00B45C8D">
      <w:pPr>
        <w:spacing w:line="360" w:lineRule="auto"/>
        <w:jc w:val="both"/>
      </w:pPr>
      <w:r>
        <w:t xml:space="preserve">gdzie, </w:t>
      </w:r>
      <w:proofErr w:type="spellStart"/>
      <w:r>
        <w:t>C</w:t>
      </w:r>
      <w:r>
        <w:rPr>
          <w:vertAlign w:val="subscript"/>
        </w:rPr>
        <w:t>p</w:t>
      </w:r>
      <w:proofErr w:type="spellEnd"/>
      <w:r>
        <w:t xml:space="preserve"> jest ciepłem właściwym [J kg-1K-1], ρ gęstością [kg/m</w:t>
      </w:r>
      <w:r>
        <w:rPr>
          <w:vertAlign w:val="superscript"/>
        </w:rPr>
        <w:t>3</w:t>
      </w:r>
      <w:r>
        <w:t>], zaś d głębokością oceanu. W przypadku lądu wielkoś</w:t>
      </w:r>
      <w:r>
        <w:t xml:space="preserve">ć d jest znacznie mniejsza niż w przypadku oceanu co jest </w:t>
      </w:r>
      <w:r>
        <w:lastRenderedPageBreak/>
        <w:t>związane z niskim przewodnictwem cieplnym gruntu. Zmiany temperatury w gruncie widoczne są jedynie w warstwie kilku (maksymalnie kilkunastu metrów). W przypadku oceanu przyjmuje się często głębokość</w:t>
      </w:r>
      <w:r>
        <w:t xml:space="preserve"> 100 metrów chociaż średnia głębokość oceanu wynosi około 4 km. Zmiany temperatury związane z procesami mieszania wywołane działaniem wiatru oraz konwekcji zmieniają się w zależności od szerokości geograficznej. Warstwa mieszania jest oddzielona warstwa pr</w:t>
      </w:r>
      <w:r>
        <w:t xml:space="preserve">zejściową (termoklina) o bardzo dużej stabilności termodynamicznej od głębszych warstw oceanu. Dlatego transfer energii od powierzchni ziemi w kierunku głębszych warstw (bądź odwrotnie) jest powolny jednak nie może być zaniedbany. </w:t>
      </w:r>
      <w:r>
        <w:rPr>
          <w:i/>
        </w:rPr>
        <w:t xml:space="preserve"> </w:t>
      </w:r>
      <w:r>
        <w:t>Jeśli przyjmie, że współ</w:t>
      </w:r>
      <w:r>
        <w:t>czynnik wrażliwości klimatu wynosi 0.6 K (Wm</w:t>
      </w:r>
      <w:r>
        <w:rPr>
          <w:vertAlign w:val="superscript"/>
        </w:rPr>
        <w:t>-2</w:t>
      </w:r>
      <w:r>
        <w:t>)</w:t>
      </w:r>
      <w:r>
        <w:rPr>
          <w:vertAlign w:val="superscript"/>
        </w:rPr>
        <w:t>-1</w:t>
      </w:r>
      <w:r>
        <w:t xml:space="preserve"> wówczas w dwóch skrajnych przypadkach otrzymujemy następujące stałe czasowe. </w:t>
      </w:r>
    </w:p>
    <w:p w:rsidR="00B74976" w:rsidRDefault="00B74976"/>
    <w:p w:rsidR="00B74976" w:rsidRDefault="00B74976"/>
    <w:tbl>
      <w:tblPr>
        <w:tblStyle w:val="a"/>
        <w:tblW w:w="777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944"/>
        <w:gridCol w:w="2151"/>
        <w:gridCol w:w="1733"/>
        <w:gridCol w:w="1942"/>
      </w:tblGrid>
      <w:tr w:rsidR="00B74976">
        <w:trPr>
          <w:trHeight w:val="449"/>
          <w:jc w:val="center"/>
        </w:trPr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74976" w:rsidRDefault="00B45C8D">
            <w:pPr>
              <w:jc w:val="center"/>
            </w:pPr>
            <w:r>
              <w:rPr>
                <w:b/>
              </w:rPr>
              <w:t>głębokość oceanu (metry)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976" w:rsidRDefault="00B45C8D">
            <w:pPr>
              <w:jc w:val="center"/>
              <w:rPr>
                <w:b/>
              </w:rPr>
            </w:pPr>
            <w:r>
              <w:rPr>
                <w:b/>
              </w:rPr>
              <w:t>pojemność cieplna</w:t>
            </w:r>
          </w:p>
          <w:p w:rsidR="00B74976" w:rsidRDefault="00B45C8D">
            <w:pPr>
              <w:jc w:val="center"/>
              <w:rPr>
                <w:b/>
              </w:rPr>
            </w:pPr>
            <w:r>
              <w:rPr>
                <w:b/>
              </w:rPr>
              <w:t>(J K</w:t>
            </w:r>
            <w:r>
              <w:rPr>
                <w:b/>
                <w:vertAlign w:val="superscript"/>
              </w:rPr>
              <w:t>-1</w:t>
            </w:r>
            <w:r>
              <w:rPr>
                <w:b/>
              </w:rPr>
              <w:t>m</w:t>
            </w:r>
            <w:r>
              <w:rPr>
                <w:b/>
                <w:vertAlign w:val="superscript"/>
              </w:rPr>
              <w:t>-2</w:t>
            </w:r>
            <w:r>
              <w:rPr>
                <w:b/>
              </w:rPr>
              <w:t>)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976" w:rsidRDefault="00B45C8D">
            <w:pPr>
              <w:jc w:val="center"/>
              <w:rPr>
                <w:b/>
              </w:rPr>
            </w:pPr>
            <w:r>
              <w:rPr>
                <w:b/>
              </w:rPr>
              <w:t>stała czasowa</w:t>
            </w:r>
          </w:p>
          <w:p w:rsidR="00B74976" w:rsidRDefault="00B45C8D">
            <w:pPr>
              <w:jc w:val="center"/>
            </w:pPr>
            <w:r>
              <w:rPr>
                <w:b/>
              </w:rPr>
              <w:t>(sec.)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74976" w:rsidRDefault="00B45C8D">
            <w:pPr>
              <w:jc w:val="center"/>
              <w:rPr>
                <w:b/>
              </w:rPr>
            </w:pPr>
            <w:r>
              <w:rPr>
                <w:b/>
              </w:rPr>
              <w:t>stała czasowa</w:t>
            </w:r>
          </w:p>
          <w:p w:rsidR="00B74976" w:rsidRDefault="00B45C8D">
            <w:pPr>
              <w:jc w:val="center"/>
            </w:pPr>
            <w:r>
              <w:rPr>
                <w:b/>
              </w:rPr>
              <w:t>(lata)</w:t>
            </w:r>
          </w:p>
        </w:tc>
      </w:tr>
      <w:tr w:rsidR="00B74976">
        <w:trPr>
          <w:trHeight w:val="449"/>
          <w:jc w:val="center"/>
        </w:trPr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74976" w:rsidRDefault="00B45C8D">
            <w:pPr>
              <w:jc w:val="center"/>
            </w:pPr>
            <w:r>
              <w:rPr>
                <w:b/>
              </w:rPr>
              <w:t>100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976" w:rsidRDefault="00B45C8D">
            <w:pPr>
              <w:jc w:val="center"/>
              <w:rPr>
                <w:b/>
              </w:rPr>
            </w:pPr>
            <w:r>
              <w:rPr>
                <w:b/>
              </w:rPr>
              <w:t>4x108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4976" w:rsidRDefault="00B45C8D">
            <w:pPr>
              <w:jc w:val="center"/>
              <w:rPr>
                <w:b/>
              </w:rPr>
            </w:pPr>
            <w:r>
              <w:rPr>
                <w:b/>
              </w:rPr>
              <w:t>2.4x108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74976" w:rsidRDefault="00B45C8D">
            <w:pPr>
              <w:jc w:val="center"/>
              <w:rPr>
                <w:b/>
              </w:rPr>
            </w:pPr>
            <w:r>
              <w:rPr>
                <w:b/>
              </w:rPr>
              <w:t>7.6</w:t>
            </w:r>
          </w:p>
        </w:tc>
      </w:tr>
      <w:tr w:rsidR="00B74976">
        <w:trPr>
          <w:trHeight w:val="440"/>
          <w:jc w:val="center"/>
        </w:trPr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74976" w:rsidRDefault="00B45C8D">
            <w:pPr>
              <w:jc w:val="center"/>
            </w:pPr>
            <w:r>
              <w:rPr>
                <w:b/>
              </w:rPr>
              <w:t>4000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4976" w:rsidRDefault="00B45C8D">
            <w:pPr>
              <w:jc w:val="center"/>
              <w:rPr>
                <w:b/>
              </w:rPr>
            </w:pPr>
            <w:r>
              <w:rPr>
                <w:b/>
              </w:rPr>
              <w:t>1.6x1010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74976" w:rsidRDefault="00B45C8D">
            <w:pPr>
              <w:jc w:val="center"/>
              <w:rPr>
                <w:b/>
              </w:rPr>
            </w:pPr>
            <w:r>
              <w:rPr>
                <w:b/>
              </w:rPr>
              <w:t>9.6x109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74976" w:rsidRDefault="00B45C8D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</w:tr>
    </w:tbl>
    <w:p w:rsidR="00B74976" w:rsidRDefault="00B74976"/>
    <w:p w:rsidR="00B74976" w:rsidRDefault="00B45C8D">
      <w:pPr>
        <w:spacing w:line="360" w:lineRule="auto"/>
      </w:pPr>
      <w:r>
        <w:t xml:space="preserve">Stała czasowa zmienia się więc od skali dekady do setek lat. W rzeczywistości stałą czasowa </w:t>
      </w:r>
    </w:p>
    <w:p w:rsidR="00B74976" w:rsidRDefault="00B45C8D">
      <w:pPr>
        <w:spacing w:line="360" w:lineRule="auto"/>
      </w:pPr>
      <w:r>
        <w:t xml:space="preserve">Jest kombinacją obu wielkości i tak w przypadku wysokich szerokości geograficznych, gdzie warstwa mieszania jest znacznie głębsza niż w tropikach stałą czasowa jest istotnie większa. Poza tym w rzeczywistości mamy obszary lądowe, dla których stałą czasowa </w:t>
      </w:r>
      <w:r>
        <w:t xml:space="preserve">jest niewielka. Pomimo, znacznego uproszczenia założymy dla dalszych obliczeń, że skala czasowa wynosi 10 lat. </w:t>
      </w:r>
    </w:p>
    <w:p w:rsidR="00B74976" w:rsidRDefault="00B74976">
      <w:pPr>
        <w:spacing w:line="360" w:lineRule="auto"/>
      </w:pPr>
    </w:p>
    <w:p w:rsidR="00B74976" w:rsidRDefault="00B45C8D">
      <w:pPr>
        <w:spacing w:line="360" w:lineRule="auto"/>
        <w:rPr>
          <w:b/>
        </w:rPr>
      </w:pPr>
      <w:r>
        <w:rPr>
          <w:b/>
        </w:rPr>
        <w:t xml:space="preserve">Przykład II: Wymuszanie radiacyjne związane z cyklem słonecznym. </w:t>
      </w:r>
    </w:p>
    <w:p w:rsidR="00B74976" w:rsidRDefault="00B45C8D">
      <w:pPr>
        <w:spacing w:line="360" w:lineRule="auto"/>
        <w:ind w:firstLine="708"/>
        <w:jc w:val="both"/>
      </w:pPr>
      <w:r>
        <w:t>Skala czasowa cyklu 11 letniego jest zbliżona do skali czasowej zmian klimaty</w:t>
      </w:r>
      <w:r>
        <w:t xml:space="preserve">cznych tak więc można postawić pytanie jak system klimatyczny odpowiada na te zaburzenia? Załóżmy, że wymuszenie radiacyjne związane z aktywnością słońca </w:t>
      </w:r>
      <w:r>
        <w:rPr>
          <w:i/>
        </w:rPr>
        <w:t>ΔF(t′</w:t>
      </w:r>
      <w:r>
        <w:t xml:space="preserve"> </w:t>
      </w:r>
      <w:r>
        <w:rPr>
          <w:i/>
        </w:rPr>
        <w:t xml:space="preserve">) </w:t>
      </w:r>
      <w:r>
        <w:t xml:space="preserve">można opisać funkcją harmoniczną </w:t>
      </w:r>
      <w:proofErr w:type="spellStart"/>
      <w:r>
        <w:rPr>
          <w:i/>
        </w:rPr>
        <w:t>A</w:t>
      </w:r>
      <w:r>
        <w:t>sin</w:t>
      </w:r>
      <w:proofErr w:type="spellEnd"/>
      <w:r>
        <w:t>(2πt</w:t>
      </w:r>
      <w:r>
        <w:rPr>
          <w:i/>
        </w:rPr>
        <w:t>′</w:t>
      </w:r>
      <w:r>
        <w:t xml:space="preserve"> /</w:t>
      </w:r>
      <w:proofErr w:type="spellStart"/>
      <w:r>
        <w:rPr>
          <w:i/>
        </w:rPr>
        <w:t>τ</w:t>
      </w:r>
      <w:r>
        <w:rPr>
          <w:i/>
          <w:vertAlign w:val="subscript"/>
        </w:rPr>
        <w:t>s</w:t>
      </w:r>
      <w:proofErr w:type="spellEnd"/>
      <w:r>
        <w:t xml:space="preserve">) gdzie </w:t>
      </w:r>
      <w:proofErr w:type="spellStart"/>
      <w:r>
        <w:t>τ</w:t>
      </w:r>
      <w:r>
        <w:rPr>
          <w:vertAlign w:val="subscript"/>
        </w:rPr>
        <w:t>s</w:t>
      </w:r>
      <w:proofErr w:type="spellEnd"/>
      <w:r>
        <w:t xml:space="preserve"> wynosi 11 lat. Podstawiając do równan</w:t>
      </w:r>
      <w:r>
        <w:t>ia (6) otrzymujemy</w:t>
      </w:r>
    </w:p>
    <w:p w:rsidR="00B74976" w:rsidRDefault="00B45C8D">
      <w:pPr>
        <w:jc w:val="both"/>
      </w:pPr>
      <w:r>
        <w:t xml:space="preserve"> </w:t>
      </w:r>
      <w:r>
        <w:pict>
          <v:shape id="_x0000_s1058" type="#_x0000_t75" style="position:absolute;left:0;text-align:left;margin-left:0;margin-top:2.1pt;width:406pt;height:42pt;z-index:251660800;mso-position-horizontal:absolute;mso-position-horizontal-relative:margin;mso-position-vertical:absolute;mso-position-vertical-relative:text">
            <v:imagedata r:id="rId68" o:title=""/>
            <w10:wrap anchorx="margin"/>
          </v:shape>
          <o:OLEObject Type="Embed" ProgID="Equation.3" ShapeID="_x0000_s1058" DrawAspect="Content" ObjectID="_1823061562" r:id="rId69"/>
        </w:pict>
      </w:r>
    </w:p>
    <w:p w:rsidR="00B74976" w:rsidRDefault="00B74976">
      <w:pPr>
        <w:jc w:val="both"/>
      </w:pPr>
    </w:p>
    <w:p w:rsidR="00B74976" w:rsidRDefault="00B74976">
      <w:pPr>
        <w:jc w:val="both"/>
      </w:pPr>
    </w:p>
    <w:p w:rsidR="00B74976" w:rsidRDefault="00B74976">
      <w:pPr>
        <w:jc w:val="both"/>
      </w:pPr>
    </w:p>
    <w:p w:rsidR="00B74976" w:rsidRDefault="00B45C8D">
      <w:pPr>
        <w:spacing w:line="360" w:lineRule="auto"/>
        <w:jc w:val="both"/>
      </w:pPr>
      <w:r>
        <w:t>Zignorujemy w końcowym wyniku warunki początkowe (czynnik ten wynosi zero). Amplituda A wymuszenie radiacyjne wynosi około 0.12 Wm</w:t>
      </w:r>
      <w:r>
        <w:rPr>
          <w:vertAlign w:val="superscript"/>
        </w:rPr>
        <w:t xml:space="preserve">-2 </w:t>
      </w:r>
      <w:r>
        <w:t xml:space="preserve">(nie jest to różnica pomiędzy </w:t>
      </w:r>
      <w:r>
        <w:lastRenderedPageBreak/>
        <w:t>maksymaln</w:t>
      </w:r>
      <w:r>
        <w:t>a a minimalna wartością stałej słonecznej). Zakładając współczynnik wrażliwości klimatu λ = 0.6 K(Wm</w:t>
      </w:r>
      <w:r>
        <w:rPr>
          <w:vertAlign w:val="superscript"/>
        </w:rPr>
        <w:t>-2</w:t>
      </w:r>
      <w:r>
        <w:t>)</w:t>
      </w:r>
      <w:r>
        <w:rPr>
          <w:vertAlign w:val="superscript"/>
        </w:rPr>
        <w:t>-1</w:t>
      </w:r>
      <w:r>
        <w:t xml:space="preserve"> oraz stałą czasową τ=2.4x108 s wyznaczamy zmienność temperatury. Dodatkowo wyznaczmy zmiany temperatury układu klimatycznego w stanie równowagi z równ</w:t>
      </w:r>
      <w:r>
        <w:t xml:space="preserve">ania </w:t>
      </w:r>
      <w:r>
        <w:rPr>
          <w:sz w:val="36"/>
          <w:szCs w:val="36"/>
          <w:vertAlign w:val="subscript"/>
        </w:rPr>
        <w:object w:dxaOrig="1185" w:dyaOrig="345">
          <v:shape id="_x0000_i1030" type="#_x0000_t75" style="width:59.25pt;height:17.25pt" o:ole="">
            <v:imagedata r:id="rId50" o:title=""/>
          </v:shape>
          <o:OLEObject Type="Embed" ProgID="Equation.3" ShapeID="_x0000_i1030" DrawAspect="Content" ObjectID="_1823061550" r:id="rId70"/>
        </w:object>
      </w:r>
      <w:r>
        <w:t>.</w:t>
      </w:r>
    </w:p>
    <w:p w:rsidR="00B74976" w:rsidRDefault="00B45C8D">
      <w:pPr>
        <w:spacing w:line="360" w:lineRule="auto"/>
        <w:jc w:val="both"/>
      </w:pPr>
      <w:r>
        <w:t>Zauważmy, że wyznaczone z naszego prostego modelu zmiany temperatury są znacznie mniejsze (około 20%) niż zmiany związane ze stanem równowagi. Wynika to z faktu, iż wymuszenie radiacyjne zmienia się za szybko aby system klimatyczny mógł podążać za nim. Stą</w:t>
      </w:r>
      <w:r>
        <w:t xml:space="preserve">d wynika przesuniecie w fazie pomiędzy wymuszeniem a odpowiedzią systemu klimatycznego. Tak, więc wpływ 11 cyklu słonecznego jest prawdopodobnie znacznie mniejszy niż wynika to z wartości wymuszenia radiacyjnego.  </w:t>
      </w:r>
    </w:p>
    <w:p w:rsidR="00B74976" w:rsidRDefault="00B45C8D">
      <w:pPr>
        <w:spacing w:line="360" w:lineRule="auto"/>
      </w:pPr>
      <w:r>
        <w:rPr>
          <w:noProof/>
          <w:lang w:val="pl-PL"/>
        </w:rPr>
        <w:drawing>
          <wp:inline distT="114300" distB="114300" distL="114300" distR="114300">
            <wp:extent cx="5760410" cy="2336800"/>
            <wp:effectExtent l="0" t="0" r="0" b="0"/>
            <wp:docPr id="28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33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4976" w:rsidRDefault="00B74976"/>
    <w:p w:rsidR="00B74976" w:rsidRDefault="00B74976"/>
    <w:p w:rsidR="00B74976" w:rsidRDefault="00B45C8D">
      <w:pPr>
        <w:jc w:val="center"/>
        <w:rPr>
          <w:i/>
        </w:rPr>
      </w:pPr>
      <w:r>
        <w:rPr>
          <w:i/>
        </w:rPr>
        <w:t>Rys. Zmienność czasowe stałej słonecznej (https://www.climate.gov/media/13199).</w:t>
      </w:r>
    </w:p>
    <w:p w:rsidR="00B74976" w:rsidRDefault="00B74976"/>
    <w:p w:rsidR="00B74976" w:rsidRDefault="00B74976"/>
    <w:p w:rsidR="00B74976" w:rsidRDefault="00B74976"/>
    <w:p w:rsidR="00B74976" w:rsidRDefault="00B74976"/>
    <w:p w:rsidR="00B45C8D" w:rsidRDefault="00B45C8D"/>
    <w:p w:rsidR="00B45C8D" w:rsidRDefault="00B45C8D"/>
    <w:p w:rsidR="00B45C8D" w:rsidRDefault="00B45C8D"/>
    <w:p w:rsidR="00B45C8D" w:rsidRDefault="00B45C8D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45C8D">
      <w:r>
        <w:rPr>
          <w:noProof/>
          <w:lang w:val="pl-PL"/>
        </w:rPr>
        <w:lastRenderedPageBreak/>
        <w:drawing>
          <wp:anchor distT="0" distB="0" distL="114300" distR="114300" simplePos="0" relativeHeight="251654656" behindDoc="0" locked="0" layoutInCell="1" hidden="0" allowOverlap="1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5056505" cy="3359785"/>
            <wp:effectExtent l="0" t="0" r="0" b="0"/>
            <wp:wrapNone/>
            <wp:docPr id="29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6505" cy="3359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74976"/>
    <w:p w:rsidR="00B74976" w:rsidRDefault="00B45C8D">
      <w:pPr>
        <w:rPr>
          <w:i/>
        </w:rPr>
      </w:pPr>
      <w:r>
        <w:rPr>
          <w:i/>
        </w:rPr>
        <w:t>Rys. Wymuszanie radiacyjne związane z aktywnością słońca oraz zmiany temperatury wynikające z prostego modelu klimatu (</w:t>
      </w:r>
      <w:proofErr w:type="spellStart"/>
      <w:r>
        <w:rPr>
          <w:b/>
          <w:i/>
        </w:rPr>
        <w:t>transient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response</w:t>
      </w:r>
      <w:proofErr w:type="spellEnd"/>
      <w:r>
        <w:rPr>
          <w:i/>
        </w:rPr>
        <w:t>) i równowagi (</w:t>
      </w:r>
      <w:proofErr w:type="spellStart"/>
      <w:r>
        <w:rPr>
          <w:b/>
          <w:i/>
        </w:rPr>
        <w:t>equilibrium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response</w:t>
      </w:r>
      <w:proofErr w:type="spellEnd"/>
      <w:r>
        <w:rPr>
          <w:i/>
        </w:rPr>
        <w:t xml:space="preserve">). </w:t>
      </w:r>
      <w:proofErr w:type="spellStart"/>
      <w:r>
        <w:rPr>
          <w:b/>
          <w:i/>
        </w:rPr>
        <w:t>Transient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response</w:t>
      </w:r>
      <w:proofErr w:type="spellEnd"/>
      <w:r>
        <w:rPr>
          <w:i/>
        </w:rPr>
        <w:t xml:space="preserve"> oznacza odpowiedz układu związana z przejściem od jednego stanu ustalonego do drugiego. </w:t>
      </w:r>
      <w:proofErr w:type="spellStart"/>
      <w:r>
        <w:rPr>
          <w:b/>
          <w:i/>
        </w:rPr>
        <w:t>Equilibrium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reponse</w:t>
      </w:r>
      <w:proofErr w:type="spellEnd"/>
      <w:r>
        <w:rPr>
          <w:i/>
        </w:rPr>
        <w:t xml:space="preserve"> oznacza zaś odpowiedz układu na zaburzenie przy założeniu, że układ dochodzi do nowego stan</w:t>
      </w:r>
      <w:r>
        <w:rPr>
          <w:i/>
        </w:rPr>
        <w:t xml:space="preserve">u natychmiastowo.   </w:t>
      </w:r>
    </w:p>
    <w:p w:rsidR="00B74976" w:rsidRDefault="00B74976">
      <w:pPr>
        <w:jc w:val="center"/>
        <w:rPr>
          <w:i/>
        </w:rPr>
      </w:pPr>
    </w:p>
    <w:p w:rsidR="00B74976" w:rsidRDefault="00B74976">
      <w:pPr>
        <w:spacing w:line="360" w:lineRule="auto"/>
      </w:pPr>
    </w:p>
    <w:p w:rsidR="00B74976" w:rsidRDefault="00B45C8D">
      <w:pPr>
        <w:spacing w:line="360" w:lineRule="auto"/>
        <w:ind w:firstLine="720"/>
      </w:pPr>
      <w:r>
        <w:t>Przejdziemy obecnie do opisu prostego modelu klimatu w którym warstwa mieszania oceanu wymienia energie za pośrednictwem dyfuzji z warstwą głębsza. Pozawala to w pewien sposób złagodzić założenie, że stała czasowa systemu klimatyczne</w:t>
      </w:r>
      <w:r>
        <w:t>go związana jest tylko z warstwą mieszania. Wprowadzając drugą warstwę oceanu musimy zmodyfikować równanie opisujące zmiany temperatury w warstwie mieszanie o człon źródłowy D opisujący transport ciepła do głębszej warstwy</w:t>
      </w:r>
    </w:p>
    <w:p w:rsidR="00B74976" w:rsidRDefault="00B45C8D">
      <w:r>
        <w:pict>
          <v:shape id="_x0000_s1061" type="#_x0000_t75" style="position:absolute;margin-left:0;margin-top:9.85pt;width:136pt;height:31pt;z-index:251661824;mso-position-horizontal:absolute;mso-position-horizontal-relative:margin;mso-position-vertical:absolute;mso-position-vertical-relative:text" fillcolor="window">
            <v:imagedata r:id="rId73" o:title=""/>
            <w10:wrap anchorx="margin"/>
          </v:shape>
          <o:OLEObject Type="Embed" ProgID="Equation.3" ShapeID="_x0000_s1061" DrawAspect="Content" ObjectID="_1823061563" r:id="rId74"/>
        </w:pict>
      </w:r>
    </w:p>
    <w:p w:rsidR="00B74976" w:rsidRDefault="00B45C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74976" w:rsidRDefault="00B74976"/>
    <w:p w:rsidR="00B74976" w:rsidRDefault="00B74976"/>
    <w:p w:rsidR="00B74976" w:rsidRDefault="00B45C8D">
      <w:pPr>
        <w:spacing w:line="360" w:lineRule="auto"/>
      </w:pPr>
      <w:r>
        <w:t>Tak, więc jedynym źródłem energii w głębszej warstwie oceanu jest transport dyfuzyjny ciepła z warstwy mieszania. Mamy stąd</w:t>
      </w:r>
    </w:p>
    <w:p w:rsidR="00B74976" w:rsidRDefault="00B45C8D">
      <w:r>
        <w:rPr>
          <w:sz w:val="36"/>
          <w:szCs w:val="36"/>
          <w:vertAlign w:val="subscript"/>
        </w:rPr>
        <w:object w:dxaOrig="1380" w:dyaOrig="645">
          <v:shape id="_x0000_i1031" type="#_x0000_t75" style="width:69pt;height:32.25pt" o:ole="" fillcolor="window">
            <v:imagedata r:id="rId75" o:title=""/>
          </v:shape>
          <o:OLEObject Type="Embed" ProgID="Equation.3" ShapeID="_x0000_i1031" DrawAspect="Content" ObjectID="_1823061551" r:id="rId76"/>
        </w:object>
      </w:r>
      <w:r>
        <w:t xml:space="preserve">,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B74976" w:rsidRDefault="00B45C8D">
      <w:pPr>
        <w:spacing w:line="360" w:lineRule="auto"/>
      </w:pPr>
      <w:r>
        <w:t>gdzie C</w:t>
      </w:r>
      <w:r>
        <w:rPr>
          <w:vertAlign w:val="subscript"/>
        </w:rPr>
        <w:t xml:space="preserve">d </w:t>
      </w:r>
      <w:r>
        <w:t>jest pojemnością cieplną g</w:t>
      </w:r>
      <w:r>
        <w:t xml:space="preserve">łębszej warstwy i jest równa </w:t>
      </w:r>
      <w:r>
        <w:rPr>
          <w:sz w:val="36"/>
          <w:szCs w:val="36"/>
          <w:vertAlign w:val="subscript"/>
        </w:rPr>
        <w:object w:dxaOrig="1215" w:dyaOrig="375">
          <v:shape id="_x0000_i1032" type="#_x0000_t75" style="width:60.75pt;height:18.75pt" o:ole="">
            <v:imagedata r:id="rId77" o:title=""/>
          </v:shape>
          <o:OLEObject Type="Embed" ProgID="Equation.3" ShapeID="_x0000_i1032" DrawAspect="Content" ObjectID="_1823061552" r:id="rId78"/>
        </w:object>
      </w:r>
      <w:r>
        <w:t xml:space="preserve"> , gdzie </w:t>
      </w:r>
      <w:proofErr w:type="spellStart"/>
      <w:r>
        <w:t>d</w:t>
      </w:r>
      <w:r>
        <w:rPr>
          <w:vertAlign w:val="subscript"/>
        </w:rPr>
        <w:t>d</w:t>
      </w:r>
      <w:proofErr w:type="spellEnd"/>
      <w:r>
        <w:t xml:space="preserve"> jest głębokością tej warstwy oceanu. Strumień energii związany z dyfuzją w [Wm</w:t>
      </w:r>
      <w:r>
        <w:rPr>
          <w:vertAlign w:val="superscript"/>
        </w:rPr>
        <w:t>-2</w:t>
      </w:r>
      <w:r>
        <w:t>] jest  proporcjonalny do gradientu temperatury i wynosi</w:t>
      </w:r>
    </w:p>
    <w:p w:rsidR="00B74976" w:rsidRDefault="00B45C8D">
      <w:r>
        <w:rPr>
          <w:sz w:val="36"/>
          <w:szCs w:val="36"/>
          <w:vertAlign w:val="subscript"/>
        </w:rPr>
        <w:object w:dxaOrig="1395" w:dyaOrig="615">
          <v:shape id="_x0000_i1033" type="#_x0000_t75" style="width:69.75pt;height:30.75pt" o:ole="" fillcolor="window">
            <v:imagedata r:id="rId79" o:title=""/>
          </v:shape>
          <o:OLEObject Type="Embed" ProgID="Equation.3" ShapeID="_x0000_i1033" DrawAspect="Content" ObjectID="_1823061553" r:id="rId80"/>
        </w:object>
      </w:r>
      <w:r>
        <w:t xml:space="preserve">,                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:rsidR="00B74976" w:rsidRDefault="00B45C8D">
      <w:pPr>
        <w:spacing w:line="360" w:lineRule="auto"/>
      </w:pPr>
      <w:r>
        <w:t xml:space="preserve">gdzie </w:t>
      </w:r>
      <w:r>
        <w:t>κ jest współczynnikiem dyfuzji i wynosi około 10</w:t>
      </w:r>
      <w:r>
        <w:rPr>
          <w:vertAlign w:val="superscript"/>
        </w:rPr>
        <w:t>-4</w:t>
      </w:r>
      <w:r>
        <w:t xml:space="preserve"> m</w:t>
      </w:r>
      <w:r>
        <w:rPr>
          <w:vertAlign w:val="superscript"/>
        </w:rPr>
        <w:t>2</w:t>
      </w:r>
      <w:r>
        <w:t>s</w:t>
      </w:r>
      <w:r>
        <w:rPr>
          <w:vertAlign w:val="superscript"/>
        </w:rPr>
        <w:t>-1</w:t>
      </w:r>
      <w:r>
        <w:t xml:space="preserve">. Można pokazać poprzez zapisanie gradientu temperatury </w:t>
      </w:r>
      <w:r>
        <w:rPr>
          <w:sz w:val="36"/>
          <w:szCs w:val="36"/>
          <w:vertAlign w:val="subscript"/>
        </w:rPr>
        <w:object w:dxaOrig="660" w:dyaOrig="345">
          <v:shape id="_x0000_i1034" type="#_x0000_t75" style="width:33pt;height:17.25pt" o:ole="" fillcolor="window">
            <v:imagedata r:id="rId81" o:title=""/>
          </v:shape>
          <o:OLEObject Type="Embed" ProgID="Equation.3" ShapeID="_x0000_i1034" DrawAspect="Content" ObjectID="_1823061554" r:id="rId82"/>
        </w:object>
      </w:r>
      <w:r>
        <w:t xml:space="preserve">w postaci różnic skończonych jako </w:t>
      </w:r>
      <w:r>
        <w:rPr>
          <w:sz w:val="36"/>
          <w:szCs w:val="36"/>
          <w:vertAlign w:val="subscript"/>
        </w:rPr>
        <w:object w:dxaOrig="2580" w:dyaOrig="360">
          <v:shape id="_x0000_i1035" type="#_x0000_t75" style="width:129pt;height:18pt" o:ole="" fillcolor="window">
            <v:imagedata r:id="rId83" o:title=""/>
          </v:shape>
          <o:OLEObject Type="Embed" ProgID="Equation.3" ShapeID="_x0000_i1035" DrawAspect="Content" ObjectID="_1823061555" r:id="rId84"/>
        </w:object>
      </w:r>
      <w:r>
        <w:t xml:space="preserve"> a następnie scałkowanie równań, że stała czasowa dla głębszej warstwy oceanu wynosi </w:t>
      </w:r>
      <w:r>
        <w:rPr>
          <w:sz w:val="36"/>
          <w:szCs w:val="36"/>
          <w:vertAlign w:val="subscript"/>
        </w:rPr>
        <w:object w:dxaOrig="855" w:dyaOrig="375">
          <v:shape id="_x0000_i1036" type="#_x0000_t75" style="width:42.75pt;height:18.75pt" o:ole="" fillcolor="window">
            <v:imagedata r:id="rId85" o:title=""/>
          </v:shape>
          <o:OLEObject Type="Embed" ProgID="Equation.3" ShapeID="_x0000_i1036" DrawAspect="Content" ObjectID="_1823061556" r:id="rId86"/>
        </w:object>
      </w:r>
      <w:r>
        <w:t>.</w:t>
      </w:r>
    </w:p>
    <w:p w:rsidR="00B74976" w:rsidRDefault="00B45C8D">
      <w:pPr>
        <w:spacing w:line="360" w:lineRule="auto"/>
        <w:jc w:val="both"/>
      </w:pPr>
      <w:r>
        <w:t>Powyższy układ równań różniczkowych modelu klimatu może być jedynie rozwiązany numerycznie. W symulacjach przyjmujemy ze współczynnik wrażliwości k</w:t>
      </w:r>
      <w:r>
        <w:t>limatu λ wynosi 0.67 K(Wm</w:t>
      </w:r>
      <w:r>
        <w:rPr>
          <w:vertAlign w:val="superscript"/>
        </w:rPr>
        <w:t>-2</w:t>
      </w:r>
      <w:r>
        <w:t>)</w:t>
      </w:r>
      <w:r>
        <w:rPr>
          <w:vertAlign w:val="superscript"/>
        </w:rPr>
        <w:t>-1</w:t>
      </w:r>
      <w:r>
        <w:t>. Wartość ta prowadzi do wzrostu temperatury powierzchni ziemi o 2.5 K przy podwojeniu koncentracji CO</w:t>
      </w:r>
      <w:r>
        <w:rPr>
          <w:vertAlign w:val="subscript"/>
        </w:rPr>
        <w:t>2</w:t>
      </w:r>
      <w:r>
        <w:t xml:space="preserve">. Pozostałe parametry przyjmują wartości: </w:t>
      </w:r>
      <w:proofErr w:type="spellStart"/>
      <w:r>
        <w:t>d</w:t>
      </w:r>
      <w:r>
        <w:rPr>
          <w:vertAlign w:val="subscript"/>
        </w:rPr>
        <w:t>m</w:t>
      </w:r>
      <w:proofErr w:type="spellEnd"/>
      <w:r>
        <w:t xml:space="preserve">=100 m, </w:t>
      </w:r>
      <w:proofErr w:type="spellStart"/>
      <w:r>
        <w:t>d</w:t>
      </w:r>
      <w:r>
        <w:rPr>
          <w:vertAlign w:val="subscript"/>
        </w:rPr>
        <w:t>d</w:t>
      </w:r>
      <w:proofErr w:type="spellEnd"/>
      <w:r>
        <w:t>=3900 m, κ = 1x10</w:t>
      </w:r>
      <w:r>
        <w:rPr>
          <w:vertAlign w:val="superscript"/>
        </w:rPr>
        <w:t>-4</w:t>
      </w:r>
      <w:r>
        <w:t xml:space="preserve"> m</w:t>
      </w:r>
      <w:r>
        <w:rPr>
          <w:vertAlign w:val="superscript"/>
        </w:rPr>
        <w:t>2</w:t>
      </w:r>
      <w:r>
        <w:t>s</w:t>
      </w:r>
      <w:r>
        <w:rPr>
          <w:vertAlign w:val="superscript"/>
        </w:rPr>
        <w:t>-1</w:t>
      </w:r>
      <w:r>
        <w:t>. W symulacjach klimatu wykorzystano przebie</w:t>
      </w:r>
      <w:r>
        <w:t>g wymuszenia radiacyjnego w latach 1850-2019 (IPCC) uwzględniający zarówno czynniki naturalne jak i antropogeniczne. Wymuszenie radiacyjne jest zdefiniowane w stosunku do roku 1750. W modelu wyznaczony przebieg temperatury powietrza jest porównywany z śred</w:t>
      </w:r>
      <w:r>
        <w:t>nią wartością temperatury obserwowanej na Ziemi. Minimalizując błąd średni kwadratowy pomiędzy symulowaną a obserwowaną zmianą temperatury pozwala na wyznaczenie parametru λ. Jednak nie dla wszystkich wartości wymuszenia radiacyjnego metoda ta daje realist</w:t>
      </w:r>
      <w:r>
        <w:t>yczne wartości współczynnika wrażliwości klimatu.</w:t>
      </w:r>
    </w:p>
    <w:p w:rsidR="00B74976" w:rsidRDefault="00B74976">
      <w:pPr>
        <w:spacing w:line="360" w:lineRule="auto"/>
        <w:jc w:val="both"/>
      </w:pPr>
    </w:p>
    <w:p w:rsidR="00B74976" w:rsidRDefault="00B45C8D">
      <w:pPr>
        <w:spacing w:line="360" w:lineRule="auto"/>
        <w:jc w:val="both"/>
        <w:rPr>
          <w:b/>
        </w:rPr>
      </w:pPr>
      <w:r>
        <w:rPr>
          <w:b/>
        </w:rPr>
        <w:t>2. Przebieg ćwiczenia</w:t>
      </w:r>
    </w:p>
    <w:p w:rsidR="00B74976" w:rsidRDefault="00B45C8D">
      <w:pPr>
        <w:spacing w:line="360" w:lineRule="auto"/>
        <w:rPr>
          <w:b/>
        </w:rPr>
      </w:pPr>
      <w:r>
        <w:rPr>
          <w:b/>
        </w:rPr>
        <w:t>2. 1 Wyznaczenie wymuszeń radiacyjnych</w:t>
      </w:r>
    </w:p>
    <w:p w:rsidR="00B74976" w:rsidRDefault="00B45C8D">
      <w:pPr>
        <w:spacing w:line="360" w:lineRule="auto"/>
        <w:ind w:firstLine="720"/>
      </w:pPr>
      <w:r>
        <w:t>W tym celu korzystamy z modelu transferu</w:t>
      </w:r>
      <w:r>
        <w:t xml:space="preserve"> promieniowania w wersji webowej:</w:t>
      </w:r>
    </w:p>
    <w:p w:rsidR="00B74976" w:rsidRDefault="00B45C8D">
      <w:pPr>
        <w:spacing w:line="360" w:lineRule="auto"/>
      </w:pPr>
      <w:hyperlink r:id="rId87">
        <w:r>
          <w:rPr>
            <w:color w:val="1155CC"/>
            <w:u w:val="single"/>
          </w:rPr>
          <w:t>https://cloudsgate2.larc.nasa.gov/cgi-bin/fuliou/runfl.cgi</w:t>
        </w:r>
      </w:hyperlink>
    </w:p>
    <w:p w:rsidR="00B74976" w:rsidRDefault="00B45C8D">
      <w:pPr>
        <w:spacing w:line="360" w:lineRule="auto"/>
      </w:pPr>
      <w:r>
        <w:t>Należy wyznaczyć wymuszenia radiacyjne na górnej granicy atmosfery w następujących</w:t>
      </w:r>
      <w:r>
        <w:t xml:space="preserve"> przypadkach:</w:t>
      </w:r>
    </w:p>
    <w:p w:rsidR="00B74976" w:rsidRDefault="00B45C8D">
      <w:pPr>
        <w:numPr>
          <w:ilvl w:val="0"/>
          <w:numId w:val="1"/>
        </w:numPr>
        <w:spacing w:line="360" w:lineRule="auto"/>
      </w:pPr>
      <w:r>
        <w:t>Zmiana koncentracji CO</w:t>
      </w:r>
      <w:r>
        <w:rPr>
          <w:vertAlign w:val="subscript"/>
        </w:rPr>
        <w:t>2</w:t>
      </w:r>
      <w:r>
        <w:t xml:space="preserve"> z</w:t>
      </w:r>
      <w:r>
        <w:t xml:space="preserve"> 278 na 425 </w:t>
      </w:r>
      <w:proofErr w:type="spellStart"/>
      <w:r>
        <w:t>ppm</w:t>
      </w:r>
      <w:proofErr w:type="spellEnd"/>
      <w:r>
        <w:t xml:space="preserve">, z 278 </w:t>
      </w:r>
      <w:proofErr w:type="spellStart"/>
      <w:r>
        <w:t>ppm</w:t>
      </w:r>
      <w:proofErr w:type="spellEnd"/>
      <w:r>
        <w:t xml:space="preserve"> na 556 </w:t>
      </w:r>
      <w:proofErr w:type="spellStart"/>
      <w:r>
        <w:t>ppm</w:t>
      </w:r>
      <w:proofErr w:type="spellEnd"/>
      <w:r>
        <w:t xml:space="preserve"> oraz z 278 na 0 </w:t>
      </w:r>
      <w:proofErr w:type="spellStart"/>
      <w:r>
        <w:t>ppm</w:t>
      </w:r>
      <w:proofErr w:type="spellEnd"/>
    </w:p>
    <w:p w:rsidR="00B74976" w:rsidRDefault="00B45C8D">
      <w:pPr>
        <w:numPr>
          <w:ilvl w:val="0"/>
          <w:numId w:val="1"/>
        </w:numPr>
        <w:spacing w:line="360" w:lineRule="auto"/>
      </w:pPr>
      <w:r>
        <w:t>Zmiany grubości optycznej aerozolu z 0 na 0.05 oraz z 0.05 na 0.04 dla następujących</w:t>
      </w:r>
      <w:r>
        <w:t xml:space="preserve"> rodzajów zanieczyszczeń: sadza (SOOT), siarczany (SU), pył mineralny (MITR), aerozol morski (</w:t>
      </w:r>
      <w:proofErr w:type="spellStart"/>
      <w:r>
        <w:t>marine</w:t>
      </w:r>
      <w:proofErr w:type="spellEnd"/>
      <w:r>
        <w:t>), miejski (</w:t>
      </w:r>
      <w:proofErr w:type="spellStart"/>
      <w:r>
        <w:t>ur</w:t>
      </w:r>
      <w:r>
        <w:t>ban</w:t>
      </w:r>
      <w:proofErr w:type="spellEnd"/>
      <w:r>
        <w:t>) oraz kontynentalny (</w:t>
      </w:r>
      <w:proofErr w:type="spellStart"/>
      <w:r>
        <w:t>continental</w:t>
      </w:r>
      <w:proofErr w:type="spellEnd"/>
      <w:r>
        <w:t>).</w:t>
      </w:r>
    </w:p>
    <w:p w:rsidR="00B74976" w:rsidRDefault="00B45C8D">
      <w:pPr>
        <w:spacing w:line="360" w:lineRule="auto"/>
      </w:pPr>
      <w:r>
        <w:t>Symulacje należy wykonać dla warunków bezchmurnych powierzchni oceanicznej i dla warunków atmosferycznych odpowiadających</w:t>
      </w:r>
      <w:r>
        <w:t xml:space="preserve"> letniej atmosferze szerokości</w:t>
      </w:r>
      <w:r>
        <w:t xml:space="preserve"> umiarkowanych</w:t>
      </w:r>
      <w:r>
        <w:t xml:space="preserve"> </w:t>
      </w:r>
      <w:r>
        <w:lastRenderedPageBreak/>
        <w:t>(rodzaj atmosfery). Kąt zenitalny słońca to numer in</w:t>
      </w:r>
      <w:r>
        <w:t>deksu studenta modulo 90 ale nie większy</w:t>
      </w:r>
      <w:r>
        <w:t xml:space="preserve"> niż 70 stopni.</w:t>
      </w:r>
    </w:p>
    <w:p w:rsidR="00B74976" w:rsidRDefault="00B74976">
      <w:pPr>
        <w:spacing w:line="360" w:lineRule="auto"/>
      </w:pPr>
    </w:p>
    <w:p w:rsidR="00B74976" w:rsidRDefault="00B45C8D">
      <w:pPr>
        <w:spacing w:line="360" w:lineRule="auto"/>
        <w:rPr>
          <w:b/>
        </w:rPr>
      </w:pPr>
      <w:r>
        <w:rPr>
          <w:b/>
        </w:rPr>
        <w:t xml:space="preserve">2.2 Analiza wymuszeń </w:t>
      </w:r>
      <w:proofErr w:type="spellStart"/>
      <w:r>
        <w:rPr>
          <w:b/>
        </w:rPr>
        <w:t>radiacyjncych</w:t>
      </w:r>
      <w:proofErr w:type="spellEnd"/>
      <w:r>
        <w:rPr>
          <w:b/>
        </w:rPr>
        <w:t xml:space="preserve"> w latach 1850-2019 oraz scenariuszy prognostycznych</w:t>
      </w:r>
    </w:p>
    <w:p w:rsidR="00B74976" w:rsidRDefault="00B45C8D">
      <w:pPr>
        <w:spacing w:line="360" w:lineRule="auto"/>
      </w:pPr>
      <w:r>
        <w:rPr>
          <w:b/>
        </w:rPr>
        <w:tab/>
      </w:r>
      <w:r>
        <w:t>W tym celu wykorzystamy dane opracowane w ramach ostatniego raportu IPCC</w:t>
      </w:r>
    </w:p>
    <w:p w:rsidR="00B74976" w:rsidRDefault="00B45C8D">
      <w:pPr>
        <w:spacing w:line="360" w:lineRule="auto"/>
      </w:pPr>
      <w:hyperlink r:id="rId88">
        <w:r>
          <w:rPr>
            <w:color w:val="1155CC"/>
            <w:u w:val="single"/>
          </w:rPr>
          <w:t>https://www.igf.fuw.edu.pl/~kmark/stacja/wyklady/PracowniaGGG/AR6_ERF_1750-2019.csv</w:t>
        </w:r>
      </w:hyperlink>
    </w:p>
    <w:p w:rsidR="00B74976" w:rsidRDefault="00B45C8D">
      <w:pPr>
        <w:spacing w:line="360" w:lineRule="auto"/>
        <w:jc w:val="both"/>
      </w:pPr>
      <w:r>
        <w:t xml:space="preserve">Plik zwiera w kolumnach wymuszenie radiacyjne związane ze zmianami zachodzącymi w systemie klimatycznym: </w:t>
      </w:r>
    </w:p>
    <w:p w:rsidR="00B74976" w:rsidRDefault="00B45C8D">
      <w:pPr>
        <w:spacing w:line="360" w:lineRule="auto"/>
        <w:jc w:val="both"/>
        <w:rPr>
          <w:color w:val="1F1F1F"/>
          <w:highlight w:val="white"/>
        </w:rPr>
      </w:pPr>
      <w:r>
        <w:rPr>
          <w:color w:val="1F1F1F"/>
          <w:highlight w:val="white"/>
        </w:rPr>
        <w:t>['</w:t>
      </w:r>
      <w:proofErr w:type="spellStart"/>
      <w:r>
        <w:rPr>
          <w:color w:val="1F1F1F"/>
          <w:highlight w:val="white"/>
        </w:rPr>
        <w:t>Year</w:t>
      </w:r>
      <w:proofErr w:type="spellEnd"/>
      <w:r>
        <w:rPr>
          <w:color w:val="1F1F1F"/>
          <w:highlight w:val="white"/>
        </w:rPr>
        <w:t>', 'CO2', 'CH4', 'N2O', '</w:t>
      </w:r>
      <w:proofErr w:type="spellStart"/>
      <w:r>
        <w:rPr>
          <w:color w:val="1F1F1F"/>
          <w:highlight w:val="white"/>
        </w:rPr>
        <w:t>Halogens</w:t>
      </w:r>
      <w:proofErr w:type="spellEnd"/>
      <w:r>
        <w:rPr>
          <w:color w:val="1F1F1F"/>
          <w:highlight w:val="white"/>
        </w:rPr>
        <w:t>', 'O3', 'H2O STRAT 2', '</w:t>
      </w:r>
      <w:proofErr w:type="spellStart"/>
      <w:r>
        <w:rPr>
          <w:color w:val="1F1F1F"/>
          <w:highlight w:val="white"/>
        </w:rPr>
        <w:t>Contrail</w:t>
      </w:r>
      <w:proofErr w:type="spellEnd"/>
      <w:r>
        <w:rPr>
          <w:color w:val="1F1F1F"/>
          <w:highlight w:val="white"/>
        </w:rPr>
        <w:t xml:space="preserve">-cirrus', 'Aerosol </w:t>
      </w:r>
      <w:proofErr w:type="spellStart"/>
      <w:r>
        <w:rPr>
          <w:color w:val="1F1F1F"/>
          <w:highlight w:val="white"/>
        </w:rPr>
        <w:t>radiation</w:t>
      </w:r>
      <w:proofErr w:type="spellEnd"/>
      <w:r>
        <w:rPr>
          <w:color w:val="1F1F1F"/>
          <w:highlight w:val="white"/>
        </w:rPr>
        <w:t xml:space="preserve"> </w:t>
      </w:r>
      <w:proofErr w:type="spellStart"/>
      <w:r>
        <w:rPr>
          <w:color w:val="1F1F1F"/>
          <w:highlight w:val="white"/>
        </w:rPr>
        <w:t>interactions</w:t>
      </w:r>
      <w:proofErr w:type="spellEnd"/>
      <w:r>
        <w:rPr>
          <w:color w:val="1F1F1F"/>
          <w:highlight w:val="white"/>
        </w:rPr>
        <w:t xml:space="preserve">', 'Aerosol </w:t>
      </w:r>
      <w:proofErr w:type="spellStart"/>
      <w:r>
        <w:rPr>
          <w:color w:val="1F1F1F"/>
          <w:highlight w:val="white"/>
        </w:rPr>
        <w:t>cloud</w:t>
      </w:r>
      <w:proofErr w:type="spellEnd"/>
      <w:r>
        <w:rPr>
          <w:color w:val="1F1F1F"/>
          <w:highlight w:val="white"/>
        </w:rPr>
        <w:t xml:space="preserve"> </w:t>
      </w:r>
      <w:proofErr w:type="spellStart"/>
      <w:r>
        <w:rPr>
          <w:color w:val="1F1F1F"/>
          <w:highlight w:val="white"/>
        </w:rPr>
        <w:t>interactions</w:t>
      </w:r>
      <w:proofErr w:type="spellEnd"/>
      <w:r>
        <w:rPr>
          <w:color w:val="1F1F1F"/>
          <w:highlight w:val="white"/>
        </w:rPr>
        <w:t xml:space="preserve">', 'BC on </w:t>
      </w:r>
      <w:proofErr w:type="spellStart"/>
      <w:r>
        <w:rPr>
          <w:color w:val="1F1F1F"/>
          <w:highlight w:val="white"/>
        </w:rPr>
        <w:t>snow</w:t>
      </w:r>
      <w:proofErr w:type="spellEnd"/>
      <w:r>
        <w:rPr>
          <w:color w:val="1F1F1F"/>
          <w:highlight w:val="white"/>
        </w:rPr>
        <w:t xml:space="preserve">', 'Land </w:t>
      </w:r>
      <w:proofErr w:type="spellStart"/>
      <w:r>
        <w:rPr>
          <w:color w:val="1F1F1F"/>
          <w:highlight w:val="white"/>
        </w:rPr>
        <w:t>use</w:t>
      </w:r>
      <w:proofErr w:type="spellEnd"/>
      <w:r>
        <w:rPr>
          <w:color w:val="1F1F1F"/>
          <w:highlight w:val="white"/>
        </w:rPr>
        <w:t>', '</w:t>
      </w:r>
      <w:proofErr w:type="spellStart"/>
      <w:r>
        <w:rPr>
          <w:color w:val="1F1F1F"/>
          <w:highlight w:val="white"/>
        </w:rPr>
        <w:t>Volcanic</w:t>
      </w:r>
      <w:proofErr w:type="spellEnd"/>
      <w:r>
        <w:rPr>
          <w:color w:val="1F1F1F"/>
          <w:highlight w:val="white"/>
        </w:rPr>
        <w:t xml:space="preserve">', 'Solar', 'Total </w:t>
      </w:r>
      <w:proofErr w:type="spellStart"/>
      <w:r>
        <w:rPr>
          <w:color w:val="1F1F1F"/>
          <w:highlight w:val="white"/>
        </w:rPr>
        <w:t>anthropogenic</w:t>
      </w:r>
      <w:proofErr w:type="spellEnd"/>
      <w:r>
        <w:rPr>
          <w:color w:val="1F1F1F"/>
          <w:highlight w:val="white"/>
        </w:rPr>
        <w:t xml:space="preserve">', 'Total </w:t>
      </w:r>
      <w:proofErr w:type="spellStart"/>
      <w:r>
        <w:rPr>
          <w:color w:val="1F1F1F"/>
          <w:highlight w:val="white"/>
        </w:rPr>
        <w:t>natural</w:t>
      </w:r>
      <w:proofErr w:type="spellEnd"/>
      <w:r>
        <w:rPr>
          <w:color w:val="1F1F1F"/>
          <w:highlight w:val="white"/>
        </w:rPr>
        <w:t>', 'Total'].</w:t>
      </w:r>
    </w:p>
    <w:p w:rsidR="00B74976" w:rsidRDefault="00B45C8D">
      <w:pPr>
        <w:spacing w:line="360" w:lineRule="auto"/>
        <w:jc w:val="both"/>
      </w:pPr>
      <w:r>
        <w:rPr>
          <w:color w:val="1F1F1F"/>
          <w:highlight w:val="white"/>
        </w:rPr>
        <w:t>Dane te należy</w:t>
      </w:r>
      <w:r>
        <w:rPr>
          <w:color w:val="1F1F1F"/>
          <w:highlight w:val="white"/>
        </w:rPr>
        <w:t xml:space="preserve"> wczytać i zwizualizować wykorzystując</w:t>
      </w:r>
      <w:r>
        <w:rPr>
          <w:color w:val="1F1F1F"/>
          <w:highlight w:val="white"/>
        </w:rPr>
        <w:t xml:space="preserve"> środowisko COLAB oparte na </w:t>
      </w:r>
      <w:proofErr w:type="spellStart"/>
      <w:r>
        <w:rPr>
          <w:color w:val="1F1F1F"/>
          <w:highlight w:val="white"/>
        </w:rPr>
        <w:t>pythonie</w:t>
      </w:r>
      <w:proofErr w:type="spellEnd"/>
      <w:r>
        <w:rPr>
          <w:color w:val="1F1F1F"/>
          <w:highlight w:val="white"/>
        </w:rPr>
        <w:t xml:space="preserve">. </w:t>
      </w:r>
      <w:r>
        <w:t>W celu wizualizacji danych można skorzystać z przygotowanego skryptu w COLAB:</w:t>
      </w:r>
    </w:p>
    <w:p w:rsidR="00B74976" w:rsidRDefault="00B45C8D">
      <w:pPr>
        <w:spacing w:line="360" w:lineRule="auto"/>
      </w:pPr>
      <w:hyperlink r:id="rId89">
        <w:r>
          <w:rPr>
            <w:color w:val="1155CC"/>
            <w:u w:val="single"/>
          </w:rPr>
          <w:t>https:/</w:t>
        </w:r>
        <w:r>
          <w:rPr>
            <w:color w:val="1155CC"/>
            <w:u w:val="single"/>
          </w:rPr>
          <w:t>/www.igf.fuw.edu.pl/~kmark/stacja/wyklady/PracowniaGGG/RFplot.ipynb</w:t>
        </w:r>
      </w:hyperlink>
      <w:r>
        <w:t xml:space="preserve">  </w:t>
      </w:r>
    </w:p>
    <w:p w:rsidR="00B74976" w:rsidRDefault="00B74976">
      <w:pPr>
        <w:spacing w:line="360" w:lineRule="auto"/>
        <w:jc w:val="both"/>
        <w:rPr>
          <w:color w:val="1F1F1F"/>
          <w:highlight w:val="white"/>
        </w:rPr>
      </w:pPr>
    </w:p>
    <w:p w:rsidR="00B74976" w:rsidRDefault="00B45C8D">
      <w:pPr>
        <w:spacing w:line="360" w:lineRule="auto"/>
        <w:ind w:firstLine="720"/>
        <w:jc w:val="both"/>
      </w:pPr>
      <w:r>
        <w:t>W drugiej części należy przeanalizować wymuszenie radiacyjne związane</w:t>
      </w:r>
      <w:r>
        <w:t xml:space="preserve"> z opracowanymi scenariuszami emisyjnymi SSP (</w:t>
      </w:r>
      <w:proofErr w:type="spellStart"/>
      <w:r>
        <w:rPr>
          <w:highlight w:val="white"/>
        </w:rPr>
        <w:t>Shared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Socioeconomic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Pathways</w:t>
      </w:r>
      <w:proofErr w:type="spellEnd"/>
      <w:r>
        <w:t>). Scenariusze emisyjne w ostatnim raporc</w:t>
      </w:r>
      <w:r>
        <w:t>ie IPCC (AR6) opisują możliwe przyszłe trajektorie rozwoju społeczeństw, gospodarki i emisji gazów cieplarnianych. Każdy scenariusz łączy założenia dotyczące wzrostu populacji, technologii, polityki energetycznej oraz nierówności społecznych, aby przedstaw</w:t>
      </w:r>
      <w:r>
        <w:t>ić różne drogi rozwoju świata do roku 2100. Scenariusze te są podstawą symulacji klimatycznych CMIP6 i służą do oceny przyszłych zmian temperatury, poziomu morza oraz ryzyka klimatycznego. Wybrane scenariusze SSP obejmują m.in.:</w:t>
      </w:r>
    </w:p>
    <w:p w:rsidR="00B74976" w:rsidRDefault="00B45C8D">
      <w:pPr>
        <w:numPr>
          <w:ilvl w:val="0"/>
          <w:numId w:val="2"/>
        </w:numPr>
        <w:spacing w:before="240" w:line="360" w:lineRule="auto"/>
      </w:pPr>
      <w:r>
        <w:rPr>
          <w:b/>
        </w:rPr>
        <w:t>SSP1-1.9</w:t>
      </w:r>
      <w:r>
        <w:t xml:space="preserve"> – scenariusz zrówn</w:t>
      </w:r>
      <w:r>
        <w:t>oważonego rozwoju prowadzący do ograniczenia ocieplenia do ok. 1.5°C; zakłada szybki spadek emisji i neutralność klimatyczną około 2050 r.</w:t>
      </w:r>
    </w:p>
    <w:p w:rsidR="00B74976" w:rsidRDefault="00B45C8D">
      <w:pPr>
        <w:numPr>
          <w:ilvl w:val="0"/>
          <w:numId w:val="2"/>
        </w:numPr>
        <w:spacing w:line="360" w:lineRule="auto"/>
      </w:pPr>
      <w:r>
        <w:rPr>
          <w:b/>
        </w:rPr>
        <w:t>SSP1-2.6</w:t>
      </w:r>
      <w:r>
        <w:t xml:space="preserve"> – umiarkowana ścieżka niskoemisyjna z ograniczeniem ocieplenia poniżej 2°C.</w:t>
      </w:r>
    </w:p>
    <w:p w:rsidR="00B74976" w:rsidRDefault="00B45C8D">
      <w:pPr>
        <w:numPr>
          <w:ilvl w:val="0"/>
          <w:numId w:val="2"/>
        </w:numPr>
        <w:spacing w:line="360" w:lineRule="auto"/>
      </w:pPr>
      <w:r>
        <w:rPr>
          <w:b/>
        </w:rPr>
        <w:t>SSP2-4.5</w:t>
      </w:r>
      <w:r>
        <w:t xml:space="preserve"> – scenariusz „środka dr</w:t>
      </w:r>
      <w:r>
        <w:t xml:space="preserve">ogi”, bez radykalnych zmian w polityce klimatycznej. </w:t>
      </w:r>
    </w:p>
    <w:p w:rsidR="00B74976" w:rsidRDefault="00B45C8D">
      <w:pPr>
        <w:numPr>
          <w:ilvl w:val="0"/>
          <w:numId w:val="2"/>
        </w:numPr>
        <w:spacing w:line="360" w:lineRule="auto"/>
      </w:pPr>
      <w:r>
        <w:rPr>
          <w:b/>
        </w:rPr>
        <w:lastRenderedPageBreak/>
        <w:t>SSP3-7.0</w:t>
      </w:r>
      <w:r>
        <w:t xml:space="preserve"> – scenariusz wysokich emisji napędzany konfliktami i niską współpracą międzynarodową. </w:t>
      </w:r>
    </w:p>
    <w:p w:rsidR="00B74976" w:rsidRDefault="00B45C8D">
      <w:pPr>
        <w:numPr>
          <w:ilvl w:val="0"/>
          <w:numId w:val="2"/>
        </w:numPr>
        <w:spacing w:after="240" w:line="360" w:lineRule="auto"/>
      </w:pPr>
      <w:r>
        <w:rPr>
          <w:b/>
        </w:rPr>
        <w:t>SSP5-8.5</w:t>
      </w:r>
      <w:r>
        <w:t xml:space="preserve"> – bardzo wysokie emisje związane z rozwojem opartym na paliwach kopalnych.</w:t>
      </w:r>
    </w:p>
    <w:p w:rsidR="00B74976" w:rsidRDefault="00B45C8D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t xml:space="preserve">Każdy scenariusz SSP jest powiązany z określonym poziomem </w:t>
      </w:r>
      <w:r>
        <w:rPr>
          <w:b/>
        </w:rPr>
        <w:t>wymuszenia radiacyjnego przez CO</w:t>
      </w:r>
      <w:r>
        <w:rPr>
          <w:b/>
          <w:vertAlign w:val="subscript"/>
        </w:rPr>
        <w:t>2</w:t>
      </w:r>
      <w:r>
        <w:rPr>
          <w:b/>
        </w:rPr>
        <w:t xml:space="preserve"> w 2100 roku</w:t>
      </w:r>
      <w:r>
        <w:t xml:space="preserve"> (np. 2.6 W/m² w SSP1-2.6), co pozwala porównać ich wpływ na klimat. Dzięki temu naukowcy mogą analizować skutki różnych wyborów politycznych i gospodarc</w:t>
      </w:r>
      <w:r>
        <w:t>zych, pokazując możliwe konsekwencje działań (lub ich braku) związanych z ochroną klimatu.</w:t>
      </w:r>
    </w:p>
    <w:tbl>
      <w:tblPr>
        <w:tblStyle w:val="a0"/>
        <w:tblW w:w="9045" w:type="dxa"/>
        <w:tblInd w:w="0" w:type="dxa"/>
        <w:tblBorders>
          <w:top w:val="single" w:sz="5" w:space="0" w:color="A2A9B1"/>
          <w:left w:val="single" w:sz="5" w:space="0" w:color="A2A9B1"/>
          <w:bottom w:val="single" w:sz="5" w:space="0" w:color="A2A9B1"/>
          <w:right w:val="single" w:sz="5" w:space="0" w:color="A2A9B1"/>
          <w:insideH w:val="single" w:sz="5" w:space="0" w:color="A2A9B1"/>
          <w:insideV w:val="single" w:sz="5" w:space="0" w:color="A2A9B1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3780"/>
        <w:gridCol w:w="1275"/>
        <w:gridCol w:w="1275"/>
        <w:gridCol w:w="1305"/>
      </w:tblGrid>
      <w:tr w:rsidR="00B74976" w:rsidRPr="00B45C8D">
        <w:trPr>
          <w:trHeight w:val="930"/>
        </w:trPr>
        <w:tc>
          <w:tcPr>
            <w:tcW w:w="1410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shd w:val="clear" w:color="auto" w:fill="EAECF0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b/>
                <w:color w:val="202122"/>
                <w:sz w:val="20"/>
                <w:szCs w:val="20"/>
              </w:rPr>
              <w:t>SSP</w:t>
            </w:r>
          </w:p>
        </w:tc>
        <w:tc>
          <w:tcPr>
            <w:tcW w:w="3780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shd w:val="clear" w:color="auto" w:fill="EAECF0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b/>
                <w:color w:val="202122"/>
                <w:sz w:val="20"/>
                <w:szCs w:val="20"/>
              </w:rPr>
            </w:pPr>
            <w:proofErr w:type="spellStart"/>
            <w:r>
              <w:rPr>
                <w:b/>
                <w:color w:val="202122"/>
                <w:sz w:val="20"/>
                <w:szCs w:val="20"/>
              </w:rPr>
              <w:t>Scenario</w:t>
            </w:r>
            <w:proofErr w:type="spellEnd"/>
          </w:p>
        </w:tc>
        <w:tc>
          <w:tcPr>
            <w:tcW w:w="127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shd w:val="clear" w:color="auto" w:fill="EAECF0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b/>
                <w:color w:val="202122"/>
                <w:sz w:val="20"/>
                <w:szCs w:val="20"/>
              </w:rPr>
            </w:pPr>
            <w:proofErr w:type="spellStart"/>
            <w:r>
              <w:rPr>
                <w:b/>
                <w:color w:val="202122"/>
                <w:sz w:val="20"/>
                <w:szCs w:val="20"/>
              </w:rPr>
              <w:t>Estimated</w:t>
            </w:r>
            <w:proofErr w:type="spellEnd"/>
            <w:r>
              <w:rPr>
                <w:b/>
                <w:color w:val="202122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202122"/>
                <w:sz w:val="20"/>
                <w:szCs w:val="20"/>
              </w:rPr>
              <w:t>warming</w:t>
            </w:r>
            <w:proofErr w:type="spellEnd"/>
          </w:p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b/>
                <w:color w:val="202122"/>
                <w:sz w:val="20"/>
                <w:szCs w:val="20"/>
              </w:rPr>
              <w:t>(2041–2060)</w:t>
            </w:r>
          </w:p>
        </w:tc>
        <w:tc>
          <w:tcPr>
            <w:tcW w:w="127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shd w:val="clear" w:color="auto" w:fill="EAECF0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b/>
                <w:color w:val="202122"/>
                <w:sz w:val="20"/>
                <w:szCs w:val="20"/>
              </w:rPr>
            </w:pPr>
            <w:proofErr w:type="spellStart"/>
            <w:r>
              <w:rPr>
                <w:b/>
                <w:color w:val="202122"/>
                <w:sz w:val="20"/>
                <w:szCs w:val="20"/>
              </w:rPr>
              <w:t>Estimated</w:t>
            </w:r>
            <w:proofErr w:type="spellEnd"/>
            <w:r>
              <w:rPr>
                <w:b/>
                <w:color w:val="202122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202122"/>
                <w:sz w:val="20"/>
                <w:szCs w:val="20"/>
              </w:rPr>
              <w:t>warming</w:t>
            </w:r>
            <w:proofErr w:type="spellEnd"/>
          </w:p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b/>
                <w:color w:val="202122"/>
                <w:sz w:val="20"/>
                <w:szCs w:val="20"/>
              </w:rPr>
              <w:t>(2081–2100)</w:t>
            </w:r>
          </w:p>
        </w:tc>
        <w:tc>
          <w:tcPr>
            <w:tcW w:w="130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shd w:val="clear" w:color="auto" w:fill="EAECF0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Pr="00B45C8D" w:rsidRDefault="00B45C8D">
            <w:pPr>
              <w:spacing w:after="240" w:line="276" w:lineRule="auto"/>
              <w:jc w:val="center"/>
              <w:rPr>
                <w:b/>
                <w:color w:val="202122"/>
                <w:sz w:val="20"/>
                <w:szCs w:val="20"/>
                <w:lang w:val="en-US"/>
              </w:rPr>
            </w:pPr>
            <w:r w:rsidRPr="00B45C8D">
              <w:rPr>
                <w:b/>
                <w:color w:val="202122"/>
                <w:sz w:val="20"/>
                <w:szCs w:val="20"/>
                <w:lang w:val="en-US"/>
              </w:rPr>
              <w:t>Very likely range in °C</w:t>
            </w:r>
          </w:p>
          <w:p w:rsidR="00B74976" w:rsidRPr="00B45C8D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  <w:lang w:val="en-US"/>
              </w:rPr>
            </w:pPr>
            <w:r w:rsidRPr="00B45C8D">
              <w:rPr>
                <w:b/>
                <w:color w:val="202122"/>
                <w:sz w:val="20"/>
                <w:szCs w:val="20"/>
                <w:lang w:val="en-US"/>
              </w:rPr>
              <w:t>(2081–2100)</w:t>
            </w:r>
          </w:p>
        </w:tc>
      </w:tr>
      <w:tr w:rsidR="00B74976">
        <w:trPr>
          <w:trHeight w:val="690"/>
        </w:trPr>
        <w:tc>
          <w:tcPr>
            <w:tcW w:w="1410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SSP1-1.9</w:t>
            </w:r>
          </w:p>
        </w:tc>
        <w:tc>
          <w:tcPr>
            <w:tcW w:w="3780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Pr="00B45C8D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  <w:lang w:val="en-US"/>
              </w:rPr>
            </w:pPr>
            <w:r w:rsidRPr="00B45C8D">
              <w:rPr>
                <w:color w:val="202122"/>
                <w:sz w:val="20"/>
                <w:szCs w:val="20"/>
                <w:lang w:val="en-US"/>
              </w:rPr>
              <w:t>very low GHG emissions:</w:t>
            </w:r>
          </w:p>
          <w:p w:rsidR="00B74976" w:rsidRPr="00B45C8D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  <w:lang w:val="en-US"/>
              </w:rPr>
            </w:pPr>
            <w:r w:rsidRPr="00B45C8D">
              <w:rPr>
                <w:color w:val="202122"/>
                <w:sz w:val="20"/>
                <w:szCs w:val="20"/>
                <w:lang w:val="en-US"/>
              </w:rPr>
              <w:t>CO</w:t>
            </w:r>
            <w:r w:rsidRPr="00B45C8D">
              <w:rPr>
                <w:color w:val="202122"/>
                <w:sz w:val="20"/>
                <w:szCs w:val="20"/>
                <w:vertAlign w:val="subscript"/>
                <w:lang w:val="en-US"/>
              </w:rPr>
              <w:t>2</w:t>
            </w:r>
            <w:r w:rsidRPr="00B45C8D">
              <w:rPr>
                <w:color w:val="202122"/>
                <w:sz w:val="20"/>
                <w:szCs w:val="20"/>
                <w:lang w:val="en-US"/>
              </w:rPr>
              <w:t xml:space="preserve"> emissions cut to net zero around 2050</w:t>
            </w:r>
          </w:p>
        </w:tc>
        <w:tc>
          <w:tcPr>
            <w:tcW w:w="127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1.6 °C</w:t>
            </w:r>
          </w:p>
        </w:tc>
        <w:tc>
          <w:tcPr>
            <w:tcW w:w="127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1.4 °C</w:t>
            </w:r>
          </w:p>
        </w:tc>
        <w:tc>
          <w:tcPr>
            <w:tcW w:w="130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1.0 – 1.8</w:t>
            </w:r>
          </w:p>
        </w:tc>
      </w:tr>
      <w:tr w:rsidR="00B74976">
        <w:trPr>
          <w:trHeight w:val="690"/>
        </w:trPr>
        <w:tc>
          <w:tcPr>
            <w:tcW w:w="1410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SSP1-2.6</w:t>
            </w:r>
          </w:p>
        </w:tc>
        <w:tc>
          <w:tcPr>
            <w:tcW w:w="3780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Pr="00B45C8D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  <w:lang w:val="en-US"/>
              </w:rPr>
            </w:pPr>
            <w:r w:rsidRPr="00B45C8D">
              <w:rPr>
                <w:color w:val="202122"/>
                <w:sz w:val="20"/>
                <w:szCs w:val="20"/>
                <w:lang w:val="en-US"/>
              </w:rPr>
              <w:t>low GHG emissions:</w:t>
            </w:r>
          </w:p>
          <w:p w:rsidR="00B74976" w:rsidRPr="00B45C8D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  <w:lang w:val="en-US"/>
              </w:rPr>
            </w:pPr>
            <w:r w:rsidRPr="00B45C8D">
              <w:rPr>
                <w:color w:val="202122"/>
                <w:sz w:val="20"/>
                <w:szCs w:val="20"/>
                <w:lang w:val="en-US"/>
              </w:rPr>
              <w:t>CO</w:t>
            </w:r>
            <w:r w:rsidRPr="00B45C8D">
              <w:rPr>
                <w:color w:val="202122"/>
                <w:sz w:val="20"/>
                <w:szCs w:val="20"/>
                <w:vertAlign w:val="subscript"/>
                <w:lang w:val="en-US"/>
              </w:rPr>
              <w:t>2</w:t>
            </w:r>
            <w:r w:rsidRPr="00B45C8D">
              <w:rPr>
                <w:color w:val="202122"/>
                <w:sz w:val="20"/>
                <w:szCs w:val="20"/>
                <w:lang w:val="en-US"/>
              </w:rPr>
              <w:t xml:space="preserve"> emissions cut to net zero around 2075</w:t>
            </w:r>
          </w:p>
        </w:tc>
        <w:tc>
          <w:tcPr>
            <w:tcW w:w="127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1.7 °C</w:t>
            </w:r>
          </w:p>
        </w:tc>
        <w:tc>
          <w:tcPr>
            <w:tcW w:w="127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1.8 °C</w:t>
            </w:r>
          </w:p>
        </w:tc>
        <w:tc>
          <w:tcPr>
            <w:tcW w:w="130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1.3 – 2.4</w:t>
            </w:r>
          </w:p>
        </w:tc>
      </w:tr>
      <w:tr w:rsidR="00B74976">
        <w:trPr>
          <w:trHeight w:val="975"/>
        </w:trPr>
        <w:tc>
          <w:tcPr>
            <w:tcW w:w="1410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SSP2-4.5</w:t>
            </w:r>
          </w:p>
        </w:tc>
        <w:tc>
          <w:tcPr>
            <w:tcW w:w="3780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Pr="00B45C8D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  <w:lang w:val="en-US"/>
              </w:rPr>
            </w:pPr>
            <w:r w:rsidRPr="00B45C8D">
              <w:rPr>
                <w:color w:val="202122"/>
                <w:sz w:val="20"/>
                <w:szCs w:val="20"/>
                <w:lang w:val="en-US"/>
              </w:rPr>
              <w:t>intermediate GHG emissions:</w:t>
            </w:r>
          </w:p>
          <w:p w:rsidR="00B74976" w:rsidRPr="00B45C8D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  <w:lang w:val="en-US"/>
              </w:rPr>
            </w:pPr>
            <w:r w:rsidRPr="00B45C8D">
              <w:rPr>
                <w:color w:val="202122"/>
                <w:sz w:val="20"/>
                <w:szCs w:val="20"/>
                <w:lang w:val="en-US"/>
              </w:rPr>
              <w:t>CO</w:t>
            </w:r>
            <w:r w:rsidRPr="00B45C8D">
              <w:rPr>
                <w:color w:val="202122"/>
                <w:sz w:val="20"/>
                <w:szCs w:val="20"/>
                <w:vertAlign w:val="subscript"/>
                <w:lang w:val="en-US"/>
              </w:rPr>
              <w:t>2</w:t>
            </w:r>
            <w:r w:rsidRPr="00B45C8D">
              <w:rPr>
                <w:color w:val="202122"/>
                <w:sz w:val="20"/>
                <w:szCs w:val="20"/>
                <w:lang w:val="en-US"/>
              </w:rPr>
              <w:t xml:space="preserve"> emissions around current levels until 2050, then falling</w:t>
            </w:r>
            <w:r w:rsidRPr="00B45C8D">
              <w:rPr>
                <w:color w:val="202122"/>
                <w:sz w:val="20"/>
                <w:szCs w:val="20"/>
                <w:lang w:val="en-US"/>
              </w:rPr>
              <w:t xml:space="preserve"> but not reaching net zero by 2100</w:t>
            </w:r>
          </w:p>
        </w:tc>
        <w:tc>
          <w:tcPr>
            <w:tcW w:w="127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2.0 °C</w:t>
            </w:r>
          </w:p>
        </w:tc>
        <w:tc>
          <w:tcPr>
            <w:tcW w:w="127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2.7 °C</w:t>
            </w:r>
          </w:p>
        </w:tc>
        <w:tc>
          <w:tcPr>
            <w:tcW w:w="130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2.1 – 3.5</w:t>
            </w:r>
          </w:p>
        </w:tc>
      </w:tr>
      <w:tr w:rsidR="00B74976">
        <w:trPr>
          <w:trHeight w:val="690"/>
        </w:trPr>
        <w:tc>
          <w:tcPr>
            <w:tcW w:w="1410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SSP3-7.0</w:t>
            </w:r>
          </w:p>
        </w:tc>
        <w:tc>
          <w:tcPr>
            <w:tcW w:w="3780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Pr="00B45C8D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  <w:lang w:val="en-US"/>
              </w:rPr>
            </w:pPr>
            <w:r w:rsidRPr="00B45C8D">
              <w:rPr>
                <w:color w:val="202122"/>
                <w:sz w:val="20"/>
                <w:szCs w:val="20"/>
                <w:lang w:val="en-US"/>
              </w:rPr>
              <w:t>high GHG emissions:</w:t>
            </w:r>
          </w:p>
          <w:p w:rsidR="00B74976" w:rsidRPr="00B45C8D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  <w:lang w:val="en-US"/>
              </w:rPr>
            </w:pPr>
            <w:r w:rsidRPr="00B45C8D">
              <w:rPr>
                <w:color w:val="202122"/>
                <w:sz w:val="20"/>
                <w:szCs w:val="20"/>
                <w:lang w:val="en-US"/>
              </w:rPr>
              <w:t>CO</w:t>
            </w:r>
            <w:r w:rsidRPr="00B45C8D">
              <w:rPr>
                <w:color w:val="202122"/>
                <w:sz w:val="20"/>
                <w:szCs w:val="20"/>
                <w:vertAlign w:val="subscript"/>
                <w:lang w:val="en-US"/>
              </w:rPr>
              <w:t>2</w:t>
            </w:r>
            <w:r w:rsidRPr="00B45C8D">
              <w:rPr>
                <w:color w:val="202122"/>
                <w:sz w:val="20"/>
                <w:szCs w:val="20"/>
                <w:lang w:val="en-US"/>
              </w:rPr>
              <w:t xml:space="preserve"> emissions double by 2100</w:t>
            </w:r>
          </w:p>
        </w:tc>
        <w:tc>
          <w:tcPr>
            <w:tcW w:w="127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2.1 °C</w:t>
            </w:r>
          </w:p>
        </w:tc>
        <w:tc>
          <w:tcPr>
            <w:tcW w:w="127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3.6 °C</w:t>
            </w:r>
          </w:p>
        </w:tc>
        <w:tc>
          <w:tcPr>
            <w:tcW w:w="130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2.8 – 4.6</w:t>
            </w:r>
          </w:p>
        </w:tc>
      </w:tr>
      <w:tr w:rsidR="00B74976">
        <w:trPr>
          <w:trHeight w:val="690"/>
        </w:trPr>
        <w:tc>
          <w:tcPr>
            <w:tcW w:w="1410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SSP5-8.5</w:t>
            </w:r>
          </w:p>
        </w:tc>
        <w:tc>
          <w:tcPr>
            <w:tcW w:w="3780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Pr="00B45C8D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  <w:lang w:val="en-US"/>
              </w:rPr>
            </w:pPr>
            <w:r w:rsidRPr="00B45C8D">
              <w:rPr>
                <w:color w:val="202122"/>
                <w:sz w:val="20"/>
                <w:szCs w:val="20"/>
                <w:lang w:val="en-US"/>
              </w:rPr>
              <w:t>very high GHG emissions:</w:t>
            </w:r>
          </w:p>
          <w:p w:rsidR="00B74976" w:rsidRPr="00B45C8D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  <w:lang w:val="en-US"/>
              </w:rPr>
            </w:pPr>
            <w:r w:rsidRPr="00B45C8D">
              <w:rPr>
                <w:color w:val="202122"/>
                <w:sz w:val="20"/>
                <w:szCs w:val="20"/>
                <w:lang w:val="en-US"/>
              </w:rPr>
              <w:t>CO</w:t>
            </w:r>
            <w:r w:rsidRPr="00B45C8D">
              <w:rPr>
                <w:color w:val="202122"/>
                <w:sz w:val="20"/>
                <w:szCs w:val="20"/>
                <w:vertAlign w:val="subscript"/>
                <w:lang w:val="en-US"/>
              </w:rPr>
              <w:t>2</w:t>
            </w:r>
            <w:r w:rsidRPr="00B45C8D">
              <w:rPr>
                <w:color w:val="202122"/>
                <w:sz w:val="20"/>
                <w:szCs w:val="20"/>
                <w:lang w:val="en-US"/>
              </w:rPr>
              <w:t xml:space="preserve"> emissions triple by 2075</w:t>
            </w:r>
          </w:p>
        </w:tc>
        <w:tc>
          <w:tcPr>
            <w:tcW w:w="127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2.4 °C</w:t>
            </w:r>
          </w:p>
        </w:tc>
        <w:tc>
          <w:tcPr>
            <w:tcW w:w="127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4.4 °C</w:t>
            </w:r>
          </w:p>
        </w:tc>
        <w:tc>
          <w:tcPr>
            <w:tcW w:w="1305" w:type="dxa"/>
            <w:tcBorders>
              <w:top w:val="single" w:sz="5" w:space="0" w:color="A2A9B1"/>
              <w:left w:val="single" w:sz="5" w:space="0" w:color="A2A9B1"/>
              <w:bottom w:val="single" w:sz="5" w:space="0" w:color="A2A9B1"/>
              <w:right w:val="single" w:sz="5" w:space="0" w:color="A2A9B1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B74976" w:rsidRDefault="00B45C8D">
            <w:pPr>
              <w:spacing w:after="240" w:line="276" w:lineRule="auto"/>
              <w:jc w:val="center"/>
              <w:rPr>
                <w:color w:val="202122"/>
                <w:sz w:val="20"/>
                <w:szCs w:val="20"/>
              </w:rPr>
            </w:pPr>
            <w:r>
              <w:rPr>
                <w:color w:val="202122"/>
                <w:sz w:val="20"/>
                <w:szCs w:val="20"/>
              </w:rPr>
              <w:t>3.3 – 5.7</w:t>
            </w:r>
          </w:p>
        </w:tc>
      </w:tr>
    </w:tbl>
    <w:p w:rsidR="00B74976" w:rsidRDefault="00B74976">
      <w:pPr>
        <w:shd w:val="clear" w:color="auto" w:fill="FFFFFF"/>
        <w:spacing w:before="120" w:after="240" w:line="276" w:lineRule="auto"/>
        <w:rPr>
          <w:rFonts w:ascii="Arial" w:eastAsia="Arial" w:hAnsi="Arial" w:cs="Arial"/>
          <w:color w:val="202122"/>
        </w:rPr>
      </w:pPr>
    </w:p>
    <w:p w:rsidR="00B74976" w:rsidRDefault="00B45C8D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val="pl-PL"/>
        </w:rPr>
        <w:lastRenderedPageBreak/>
        <w:drawing>
          <wp:inline distT="114300" distB="114300" distL="114300" distR="114300">
            <wp:extent cx="5760410" cy="3238500"/>
            <wp:effectExtent l="0" t="0" r="0" b="0"/>
            <wp:docPr id="3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4976" w:rsidRDefault="00B45C8D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Rys. Scenariusze wzrostu koncentracji CO</w:t>
      </w:r>
      <w:r>
        <w:rPr>
          <w:rFonts w:ascii="Calibri" w:eastAsia="Calibri" w:hAnsi="Calibri" w:cs="Calibri"/>
          <w:vertAlign w:val="subscript"/>
        </w:rPr>
        <w:t>2</w:t>
      </w:r>
      <w:r>
        <w:rPr>
          <w:rFonts w:ascii="Calibri" w:eastAsia="Calibri" w:hAnsi="Calibri" w:cs="Calibri"/>
        </w:rPr>
        <w:t xml:space="preserve"> w atmosferze</w:t>
      </w:r>
    </w:p>
    <w:p w:rsidR="00B74976" w:rsidRDefault="00B74976">
      <w:pPr>
        <w:spacing w:line="276" w:lineRule="auto"/>
        <w:rPr>
          <w:rFonts w:ascii="Roboto Mono" w:eastAsia="Roboto Mono" w:hAnsi="Roboto Mono" w:cs="Roboto Mono"/>
          <w:color w:val="188038"/>
        </w:rPr>
      </w:pPr>
    </w:p>
    <w:p w:rsidR="00B74976" w:rsidRDefault="00B74976">
      <w:pPr>
        <w:spacing w:line="276" w:lineRule="auto"/>
        <w:rPr>
          <w:rFonts w:ascii="Calibri" w:eastAsia="Calibri" w:hAnsi="Calibri" w:cs="Calibri"/>
        </w:rPr>
      </w:pPr>
    </w:p>
    <w:p w:rsidR="00B74976" w:rsidRDefault="00B45C8D">
      <w:pPr>
        <w:spacing w:line="360" w:lineRule="auto"/>
        <w:rPr>
          <w:b/>
        </w:rPr>
      </w:pPr>
      <w:r>
        <w:rPr>
          <w:b/>
        </w:rPr>
        <w:t>2.3 Symulacje z wykorzystaniem prostego modelu klimatu</w:t>
      </w:r>
    </w:p>
    <w:p w:rsidR="00B74976" w:rsidRDefault="00B74976">
      <w:pPr>
        <w:spacing w:line="360" w:lineRule="auto"/>
      </w:pPr>
    </w:p>
    <w:p w:rsidR="00B74976" w:rsidRDefault="00B45C8D">
      <w:pPr>
        <w:spacing w:line="360" w:lineRule="auto"/>
      </w:pPr>
      <w:r>
        <w:t xml:space="preserve">Model </w:t>
      </w:r>
      <w:proofErr w:type="spellStart"/>
      <w:r>
        <w:t>dostepny</w:t>
      </w:r>
      <w:proofErr w:type="spellEnd"/>
      <w:r>
        <w:t xml:space="preserve"> jest tutaj: </w:t>
      </w:r>
      <w:hyperlink r:id="rId91">
        <w:r>
          <w:rPr>
            <w:color w:val="1155CC"/>
            <w:u w:val="single"/>
          </w:rPr>
          <w:t>https://www.igf.fuw.edu.pl/~kmark/stacja/wyklady/PracowniaGGG/SimpleClimateModel.ipynb</w:t>
        </w:r>
      </w:hyperlink>
      <w:r>
        <w:t xml:space="preserve"> </w:t>
      </w:r>
    </w:p>
    <w:p w:rsidR="00B74976" w:rsidRDefault="00B74976">
      <w:pPr>
        <w:spacing w:line="360" w:lineRule="auto"/>
      </w:pPr>
    </w:p>
    <w:p w:rsidR="00B74976" w:rsidRDefault="00B45C8D">
      <w:pPr>
        <w:numPr>
          <w:ilvl w:val="0"/>
          <w:numId w:val="4"/>
        </w:numPr>
        <w:spacing w:line="360" w:lineRule="auto"/>
      </w:pPr>
      <w:r>
        <w:t xml:space="preserve">Należy wykonać symulacje modelem klimatu i oszacować zgodność wyników z wynikami pomiarów biorąc pod uwagę wszystkie wymuszenia radiacyjne. </w:t>
      </w:r>
    </w:p>
    <w:p w:rsidR="00B74976" w:rsidRDefault="00B45C8D">
      <w:pPr>
        <w:numPr>
          <w:ilvl w:val="0"/>
          <w:numId w:val="4"/>
        </w:numPr>
        <w:spacing w:line="360" w:lineRule="auto"/>
      </w:pPr>
      <w:r>
        <w:t>Przenalizować</w:t>
      </w:r>
      <w:r>
        <w:t xml:space="preserve"> wpływ parame</w:t>
      </w:r>
      <w:r>
        <w:t>trów modelu (współczynnik wrażliwości klimatycznej, turbulencyjny współczynnik dyfuzji, głębokość warstwy mieszania) na zgodność</w:t>
      </w:r>
      <w:r>
        <w:t xml:space="preserve"> temperatury z obserwacjami:</w:t>
      </w:r>
    </w:p>
    <w:p w:rsidR="00B74976" w:rsidRDefault="00B45C8D">
      <w:pPr>
        <w:numPr>
          <w:ilvl w:val="0"/>
          <w:numId w:val="4"/>
        </w:numPr>
        <w:spacing w:line="360" w:lineRule="auto"/>
      </w:pPr>
      <w:r>
        <w:t>Wyznaczyć optymalną wartość współczynnika wrażliwości klimatycznej tak aby model klimatu dla wszyst</w:t>
      </w:r>
      <w:r>
        <w:t>kich wymuszeń w najlepszy sposób</w:t>
      </w:r>
      <w:r>
        <w:t xml:space="preserve"> zgadzał się z wynikiem pomiarów. </w:t>
      </w:r>
    </w:p>
    <w:p w:rsidR="00B74976" w:rsidRDefault="00B45C8D">
      <w:pPr>
        <w:numPr>
          <w:ilvl w:val="0"/>
          <w:numId w:val="4"/>
        </w:numPr>
        <w:spacing w:line="360" w:lineRule="auto"/>
      </w:pPr>
      <w:r>
        <w:t>Należy wyznaczyć stała czasową systemu klimatycznego w oparciu o symulację wybuchu wulkanicznego</w:t>
      </w:r>
      <w:r>
        <w:t xml:space="preserve"> (</w:t>
      </w:r>
      <w:proofErr w:type="spellStart"/>
      <w:r>
        <w:t>Volcanic_ADD</w:t>
      </w:r>
      <w:proofErr w:type="spellEnd"/>
      <w:r>
        <w:t>)</w:t>
      </w:r>
    </w:p>
    <w:p w:rsidR="00B74976" w:rsidRDefault="00B45C8D">
      <w:pPr>
        <w:numPr>
          <w:ilvl w:val="0"/>
          <w:numId w:val="4"/>
        </w:numPr>
        <w:spacing w:line="360" w:lineRule="auto"/>
      </w:pPr>
      <w:r>
        <w:t>Oszacować ochłodzenie klimatu po usunięciu z atmosfery wszystkich gazów ciepla</w:t>
      </w:r>
      <w:r>
        <w:t>rnianych poza parą wodną. Po jakim czasie</w:t>
      </w:r>
      <w:r>
        <w:t xml:space="preserve"> temperatura</w:t>
      </w:r>
      <w:r>
        <w:t xml:space="preserve"> ziemi obniży </w:t>
      </w:r>
      <w:r>
        <w:t>się o 5, 10 i 15 stopni?</w:t>
      </w:r>
    </w:p>
    <w:p w:rsidR="00B74976" w:rsidRDefault="00B45C8D">
      <w:pPr>
        <w:numPr>
          <w:ilvl w:val="0"/>
          <w:numId w:val="4"/>
        </w:numPr>
        <w:spacing w:line="360" w:lineRule="auto"/>
      </w:pPr>
      <w:r>
        <w:lastRenderedPageBreak/>
        <w:t>Należy oszacować temperaturę powietrza w 2050 i 2100 r. przy założeniu każdego z pięciu scenariuszy emisyjnych. Jaka jest w tych przypadkach temperatura równowagowa?</w:t>
      </w:r>
    </w:p>
    <w:p w:rsidR="00B74976" w:rsidRDefault="00B45C8D">
      <w:pPr>
        <w:spacing w:line="276" w:lineRule="auto"/>
      </w:pPr>
      <w:r>
        <w:rPr>
          <w:rFonts w:ascii="Calibri" w:eastAsia="Calibri" w:hAnsi="Calibri" w:cs="Calibri"/>
        </w:rPr>
        <w:tab/>
      </w:r>
    </w:p>
    <w:p w:rsidR="00B74976" w:rsidRDefault="00B45C8D">
      <w:pPr>
        <w:rPr>
          <w:b/>
        </w:rPr>
      </w:pPr>
      <w:r>
        <w:rPr>
          <w:b/>
        </w:rPr>
        <w:t>3. Raport z ćwiczenia</w:t>
      </w:r>
    </w:p>
    <w:p w:rsidR="00B74976" w:rsidRDefault="00B74976">
      <w:pPr>
        <w:rPr>
          <w:b/>
        </w:rPr>
      </w:pPr>
    </w:p>
    <w:p w:rsidR="00B74976" w:rsidRDefault="00B45C8D">
      <w:pPr>
        <w:spacing w:line="360" w:lineRule="auto"/>
        <w:jc w:val="both"/>
      </w:pPr>
      <w:r>
        <w:rPr>
          <w:b/>
        </w:rPr>
        <w:tab/>
      </w:r>
      <w:r>
        <w:t>W ramach raportu należy przestawić wyniki analiz i symulacji numerycznych. Przedyskutować uzyskane wyniki oraz przedstawić wizualizacje danych. Nie jest wymagane prezentowanie kodów komputerowych. Należy</w:t>
      </w:r>
      <w:bookmarkStart w:id="5" w:name="_GoBack"/>
      <w:bookmarkEnd w:id="5"/>
      <w:r>
        <w:t xml:space="preserve"> zwrócić szczególną uwagę n</w:t>
      </w:r>
      <w:r>
        <w:t xml:space="preserve">a interpretację wyników i dyskusje ewentualnych niepewności i ograniczeń symulacji numerycznych.  </w:t>
      </w:r>
    </w:p>
    <w:p w:rsidR="00B74976" w:rsidRDefault="00B74976">
      <w:pPr>
        <w:spacing w:line="360" w:lineRule="auto"/>
      </w:pPr>
    </w:p>
    <w:p w:rsidR="00B74976" w:rsidRDefault="00B74976">
      <w:pPr>
        <w:spacing w:line="360" w:lineRule="auto"/>
      </w:pPr>
    </w:p>
    <w:sectPr w:rsidR="00B7497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C6CE521B-BEFB-4371-8046-220011B9EAB1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2" w:fontKey="{5D6BEAFF-61E1-485E-AFCE-8DA57BE485E8}"/>
    <w:embedItalic r:id="rId3" w:fontKey="{06798372-B64F-48B4-B584-B928213834B0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49F442E-5F53-4107-AE26-C7E38198ED90}"/>
    <w:embedItalic r:id="rId5" w:fontKey="{ACA57068-6A3B-41D5-82D9-3036E459AF7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B5390913-0F33-45E0-9D05-CDD42375295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Mono">
    <w:charset w:val="00"/>
    <w:family w:val="auto"/>
    <w:pitch w:val="default"/>
    <w:embedRegular r:id="rId7" w:fontKey="{3725379B-8895-429A-8AEF-DF372C27F9F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084F4232-8D43-4CBA-B88F-3EA2EE28A35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7E02"/>
    <w:multiLevelType w:val="multilevel"/>
    <w:tmpl w:val="AA4478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EC37F38"/>
    <w:multiLevelType w:val="multilevel"/>
    <w:tmpl w:val="9FA890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234E1DC5"/>
    <w:multiLevelType w:val="multilevel"/>
    <w:tmpl w:val="68CA9B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5064823"/>
    <w:multiLevelType w:val="multilevel"/>
    <w:tmpl w:val="57FCBE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74976"/>
    <w:rsid w:val="00B45C8D"/>
    <w:rsid w:val="00B7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basedOn w:val="Domylnaczcionkaakapitu"/>
    <w:rsid w:val="00382A2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link w:val="TekstdymkaZnak"/>
    <w:uiPriority w:val="99"/>
    <w:semiHidden/>
    <w:unhideWhenUsed/>
    <w:rsid w:val="00382A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2A22"/>
    <w:rPr>
      <w:rFonts w:ascii="Tahoma" w:eastAsia="Times New Roman" w:hAnsi="Tahoma" w:cs="Tahoma"/>
      <w:sz w:val="16"/>
      <w:szCs w:val="16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8F9FA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basedOn w:val="Domylnaczcionkaakapitu"/>
    <w:rsid w:val="00382A2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link w:val="TekstdymkaZnak"/>
    <w:uiPriority w:val="99"/>
    <w:semiHidden/>
    <w:unhideWhenUsed/>
    <w:rsid w:val="00382A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2A22"/>
    <w:rPr>
      <w:rFonts w:ascii="Tahoma" w:eastAsia="Times New Roman" w:hAnsi="Tahoma" w:cs="Tahoma"/>
      <w:sz w:val="16"/>
      <w:szCs w:val="16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8F9FA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47" Type="http://schemas.openxmlformats.org/officeDocument/2006/relationships/image" Target="media/image24.png"/><Relationship Id="rId50" Type="http://schemas.openxmlformats.org/officeDocument/2006/relationships/image" Target="media/image3.wmf"/><Relationship Id="rId55" Type="http://schemas.openxmlformats.org/officeDocument/2006/relationships/oleObject" Target="embeddings/oleObject4.bin"/><Relationship Id="rId63" Type="http://schemas.openxmlformats.org/officeDocument/2006/relationships/oleObject" Target="embeddings/oleObject8.bin"/><Relationship Id="rId68" Type="http://schemas.openxmlformats.org/officeDocument/2006/relationships/image" Target="media/image12.wmf"/><Relationship Id="rId76" Type="http://schemas.openxmlformats.org/officeDocument/2006/relationships/oleObject" Target="embeddings/oleObject14.bin"/><Relationship Id="rId84" Type="http://schemas.openxmlformats.org/officeDocument/2006/relationships/oleObject" Target="embeddings/oleObject18.bin"/><Relationship Id="rId89" Type="http://schemas.openxmlformats.org/officeDocument/2006/relationships/hyperlink" Target="https://www.igf.fuw.edu.pl/~kmark/stacja/wyklady/PracowniaGGG/RFplot.ipynb" TargetMode="External"/><Relationship Id="rId7" Type="http://schemas.openxmlformats.org/officeDocument/2006/relationships/hyperlink" Target="mailto:kmark@igf.fuw.edu.pl" TargetMode="External"/><Relationship Id="rId59" Type="http://schemas.openxmlformats.org/officeDocument/2006/relationships/oleObject" Target="embeddings/oleObject6.bin"/><Relationship Id="rId67" Type="http://schemas.openxmlformats.org/officeDocument/2006/relationships/oleObject" Target="embeddings/oleObject10.bin"/><Relationship Id="rId71" Type="http://schemas.openxmlformats.org/officeDocument/2006/relationships/image" Target="media/image13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54" Type="http://schemas.openxmlformats.org/officeDocument/2006/relationships/image" Target="media/image5.wmf"/><Relationship Id="rId62" Type="http://schemas.openxmlformats.org/officeDocument/2006/relationships/image" Target="media/image9.wmf"/><Relationship Id="rId70" Type="http://schemas.openxmlformats.org/officeDocument/2006/relationships/oleObject" Target="embeddings/oleObject12.bin"/><Relationship Id="rId75" Type="http://schemas.openxmlformats.org/officeDocument/2006/relationships/image" Target="media/image16.wmf"/><Relationship Id="rId83" Type="http://schemas.openxmlformats.org/officeDocument/2006/relationships/image" Target="media/image20.wmf"/><Relationship Id="rId88" Type="http://schemas.openxmlformats.org/officeDocument/2006/relationships/hyperlink" Target="https://www.igf.fuw.edu.pl/~kmark/stacja/wyklady/PracowniaGGG/AR6_ERF_1750-2019.csv" TargetMode="External"/><Relationship Id="rId91" Type="http://schemas.openxmlformats.org/officeDocument/2006/relationships/hyperlink" Target="https://www.igf.fuw.edu.pl/~kmark/stacja/wyklady/PracowniaGGG/SimpleClimateModel.ipyn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3" Type="http://schemas.openxmlformats.org/officeDocument/2006/relationships/oleObject" Target="embeddings/oleObject3.bin"/><Relationship Id="rId58" Type="http://schemas.openxmlformats.org/officeDocument/2006/relationships/image" Target="media/image7.wmf"/><Relationship Id="rId66" Type="http://schemas.openxmlformats.org/officeDocument/2006/relationships/image" Target="media/image11.wmf"/><Relationship Id="rId74" Type="http://schemas.openxmlformats.org/officeDocument/2006/relationships/oleObject" Target="embeddings/oleObject13.bin"/><Relationship Id="rId79" Type="http://schemas.openxmlformats.org/officeDocument/2006/relationships/image" Target="media/image18.wmf"/><Relationship Id="rId87" Type="http://schemas.openxmlformats.org/officeDocument/2006/relationships/hyperlink" Target="https://cloudsgate2.larc.nasa.gov/cgi-bin/fuliou/runfl.cgi" TargetMode="External"/><Relationship Id="rId5" Type="http://schemas.openxmlformats.org/officeDocument/2006/relationships/settings" Target="settings.xml"/><Relationship Id="rId49" Type="http://schemas.openxmlformats.org/officeDocument/2006/relationships/oleObject" Target="embeddings/oleObject1.bin"/><Relationship Id="rId57" Type="http://schemas.openxmlformats.org/officeDocument/2006/relationships/oleObject" Target="embeddings/oleObject5.bin"/><Relationship Id="rId61" Type="http://schemas.openxmlformats.org/officeDocument/2006/relationships/oleObject" Target="embeddings/oleObject7.bin"/><Relationship Id="rId82" Type="http://schemas.openxmlformats.org/officeDocument/2006/relationships/oleObject" Target="embeddings/oleObject17.bin"/><Relationship Id="rId90" Type="http://schemas.openxmlformats.org/officeDocument/2006/relationships/image" Target="media/image22.png"/><Relationship Id="rId52" Type="http://schemas.openxmlformats.org/officeDocument/2006/relationships/image" Target="media/image4.wmf"/><Relationship Id="rId60" Type="http://schemas.openxmlformats.org/officeDocument/2006/relationships/image" Target="media/image8.wmf"/><Relationship Id="rId65" Type="http://schemas.openxmlformats.org/officeDocument/2006/relationships/oleObject" Target="embeddings/oleObject9.bin"/><Relationship Id="rId73" Type="http://schemas.openxmlformats.org/officeDocument/2006/relationships/image" Target="media/image15.wmf"/><Relationship Id="rId78" Type="http://schemas.openxmlformats.org/officeDocument/2006/relationships/oleObject" Target="embeddings/oleObject15.bin"/><Relationship Id="rId81" Type="http://schemas.openxmlformats.org/officeDocument/2006/relationships/image" Target="media/image19.wmf"/><Relationship Id="rId86" Type="http://schemas.openxmlformats.org/officeDocument/2006/relationships/oleObject" Target="embeddings/oleObject19.bin"/><Relationship Id="rId4" Type="http://schemas.microsoft.com/office/2007/relationships/stylesWithEffects" Target="stylesWithEffects.xml"/><Relationship Id="rId48" Type="http://schemas.openxmlformats.org/officeDocument/2006/relationships/image" Target="media/image2.wmf"/><Relationship Id="rId56" Type="http://schemas.openxmlformats.org/officeDocument/2006/relationships/image" Target="media/image6.wmf"/><Relationship Id="rId64" Type="http://schemas.openxmlformats.org/officeDocument/2006/relationships/image" Target="media/image10.wmf"/><Relationship Id="rId69" Type="http://schemas.openxmlformats.org/officeDocument/2006/relationships/oleObject" Target="embeddings/oleObject11.bin"/><Relationship Id="rId77" Type="http://schemas.openxmlformats.org/officeDocument/2006/relationships/image" Target="media/image17.wmf"/><Relationship Id="rId8" Type="http://schemas.openxmlformats.org/officeDocument/2006/relationships/image" Target="media/image1.png"/><Relationship Id="rId51" Type="http://schemas.openxmlformats.org/officeDocument/2006/relationships/oleObject" Target="embeddings/oleObject2.bin"/><Relationship Id="rId72" Type="http://schemas.openxmlformats.org/officeDocument/2006/relationships/image" Target="media/image14.png"/><Relationship Id="rId80" Type="http://schemas.openxmlformats.org/officeDocument/2006/relationships/oleObject" Target="embeddings/oleObject16.bin"/><Relationship Id="rId85" Type="http://schemas.openxmlformats.org/officeDocument/2006/relationships/image" Target="media/image21.wmf"/><Relationship Id="rId93" Type="http://schemas.openxmlformats.org/officeDocument/2006/relationships/theme" Target="theme/theme1.xml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6+E6U/e75xwijdMCJ1T2qV9QA==">CgMxLjAyDmguemZzaXJycG5qdjM2Mg5oLmRhMjNtNTU2cHVwMDIOaC5qbDVncWxjd3IzNGkyDmguamF2YTZnMW16YXo2Mg5oLjY5MTgwOTE2MWdibzgAciExcVcyMVJvR1VMcV9DUTJFTkQ2LVdZZFBjM3EwV1p0ajI=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2993</Words>
  <Characters>17961</Characters>
  <Application>Microsoft Office Word</Application>
  <DocSecurity>0</DocSecurity>
  <Lines>149</Lines>
  <Paragraphs>41</Paragraphs>
  <ScaleCrop>false</ScaleCrop>
  <Company/>
  <LinksUpToDate>false</LinksUpToDate>
  <CharactersWithSpaces>20913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2025-09-30T12:28:00Z</dcterms:created>
  <dcterms:modified xsi:type="dcterms:W3CDTF">2025-10-27T08:12:00Z</dcterms:modified>
</cp:coreProperties>
</file>